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80FA53" w14:textId="77777777" w:rsidR="00000000" w:rsidRDefault="00BD04EE">
      <w:pPr>
        <w:pStyle w:val="NormalWeb"/>
        <w:rPr>
          <w:lang w:val="es-ES"/>
        </w:rPr>
      </w:pPr>
      <w:r>
        <w:rPr>
          <w:b/>
          <w:bCs/>
          <w:lang w:val="es-ES"/>
        </w:rPr>
        <w:t>Suplemento del Registro Oficial No. 69 , 28 de Octubre 2019</w:t>
      </w:r>
    </w:p>
    <w:p w14:paraId="3A1022CF" w14:textId="77777777" w:rsidR="00000000" w:rsidRDefault="00BD04EE">
      <w:pPr>
        <w:pStyle w:val="NormalWeb"/>
        <w:rPr>
          <w:lang w:val="es-ES"/>
        </w:rPr>
      </w:pPr>
      <w:r>
        <w:rPr>
          <w:b/>
          <w:bCs/>
          <w:lang w:val="es-ES"/>
        </w:rPr>
        <w:t>Normativa:</w:t>
      </w:r>
      <w:r>
        <w:rPr>
          <w:lang w:val="es-ES"/>
        </w:rPr>
        <w:t xml:space="preserve"> Vigente</w:t>
      </w:r>
    </w:p>
    <w:p w14:paraId="1814452E" w14:textId="77777777" w:rsidR="00000000" w:rsidRDefault="00BD04EE">
      <w:pPr>
        <w:jc w:val="both"/>
        <w:rPr>
          <w:rFonts w:eastAsia="Times New Roman"/>
          <w:lang w:val="es-ES"/>
        </w:rPr>
      </w:pPr>
      <w:r>
        <w:rPr>
          <w:rFonts w:eastAsia="Times New Roman"/>
          <w:b/>
          <w:bCs/>
          <w:lang w:val="es-ES"/>
        </w:rPr>
        <w:t xml:space="preserve">Última Reforma: </w:t>
      </w:r>
    </w:p>
    <w:p w14:paraId="5CAEB15A" w14:textId="77777777" w:rsidR="00000000" w:rsidRDefault="00BD04EE">
      <w:pPr>
        <w:jc w:val="both"/>
        <w:rPr>
          <w:rFonts w:eastAsia="Times New Roman"/>
          <w:lang w:val="es-ES"/>
        </w:rPr>
      </w:pPr>
    </w:p>
    <w:p w14:paraId="34D6BA04" w14:textId="77777777" w:rsidR="00000000" w:rsidRDefault="00BD04EE">
      <w:pPr>
        <w:jc w:val="center"/>
        <w:rPr>
          <w:rFonts w:eastAsia="Times New Roman"/>
          <w:b/>
          <w:bCs/>
          <w:lang w:val="es-ES"/>
        </w:rPr>
      </w:pPr>
    </w:p>
    <w:p w14:paraId="2CAAE9A5" w14:textId="77777777" w:rsidR="00000000" w:rsidRDefault="00BD04EE">
      <w:pPr>
        <w:jc w:val="center"/>
        <w:rPr>
          <w:rFonts w:eastAsia="Times New Roman"/>
          <w:b/>
          <w:bCs/>
          <w:lang w:val="es-ES"/>
        </w:rPr>
      </w:pPr>
      <w:r>
        <w:rPr>
          <w:rFonts w:eastAsia="Times New Roman"/>
          <w:b/>
          <w:bCs/>
          <w:lang w:val="es-ES"/>
        </w:rPr>
        <w:t xml:space="preserve">RESOLUCIÓN No. </w:t>
      </w:r>
      <w:bookmarkStart w:id="0" w:name="_GoBack"/>
      <w:r>
        <w:rPr>
          <w:rFonts w:eastAsia="Times New Roman"/>
          <w:b/>
          <w:bCs/>
          <w:lang w:val="es-ES"/>
        </w:rPr>
        <w:t>NAC-DGERCGC19-00000049</w:t>
      </w:r>
      <w:bookmarkEnd w:id="0"/>
    </w:p>
    <w:p w14:paraId="33D22FA4" w14:textId="77777777" w:rsidR="00000000" w:rsidRDefault="00BD04EE">
      <w:pPr>
        <w:jc w:val="center"/>
        <w:rPr>
          <w:rFonts w:eastAsia="Times New Roman"/>
          <w:lang w:val="es-ES"/>
        </w:rPr>
      </w:pPr>
      <w:r>
        <w:rPr>
          <w:rFonts w:eastAsia="Times New Roman"/>
          <w:b/>
          <w:bCs/>
          <w:lang w:val="es-ES"/>
        </w:rPr>
        <w:t>(EXPÍDENSE LAS NORMAS PARA ESTABLECER LOS FACTORES DE AJUSTE EN PROCESOS DE DETERMINACIÓN DE IMPUESTO A LA RENTA ORIGINADOS EN COMUNICACIONES DE DIFERENCIAS Y LIQUIDACIONES DE PAGO Y SU FORMA DE APLICACIÓN)</w:t>
      </w:r>
    </w:p>
    <w:p w14:paraId="217A721C" w14:textId="77777777" w:rsidR="00000000" w:rsidRDefault="00BD04EE">
      <w:pPr>
        <w:jc w:val="both"/>
        <w:divId w:val="2110537182"/>
        <w:rPr>
          <w:rFonts w:eastAsia="Times New Roman"/>
          <w:lang w:val="es-ES"/>
        </w:rPr>
      </w:pPr>
      <w:r>
        <w:rPr>
          <w:rFonts w:eastAsia="Times New Roman"/>
          <w:b/>
          <w:bCs/>
          <w:lang w:val="es-ES"/>
        </w:rPr>
        <w:br/>
      </w:r>
      <w:r>
        <w:rPr>
          <w:rFonts w:eastAsia="Times New Roman"/>
          <w:lang w:val="es-ES"/>
        </w:rPr>
        <w:t>LA DIRECTORA GENERAL DEL SERVICIO DE RENTAS INTE</w:t>
      </w:r>
      <w:r>
        <w:rPr>
          <w:rFonts w:eastAsia="Times New Roman"/>
          <w:lang w:val="es-ES"/>
        </w:rPr>
        <w:t>RNAS</w:t>
      </w:r>
    </w:p>
    <w:p w14:paraId="7178533E" w14:textId="77777777" w:rsidR="00000000" w:rsidRDefault="00BD04EE">
      <w:pPr>
        <w:jc w:val="both"/>
        <w:divId w:val="2110537182"/>
        <w:rPr>
          <w:rFonts w:eastAsia="Times New Roman"/>
          <w:lang w:val="es-ES"/>
        </w:rPr>
      </w:pPr>
      <w:r>
        <w:rPr>
          <w:rFonts w:eastAsia="Times New Roman"/>
          <w:lang w:val="es-ES"/>
        </w:rPr>
        <w:br/>
      </w:r>
      <w:r>
        <w:rPr>
          <w:rFonts w:eastAsia="Times New Roman"/>
          <w:b/>
          <w:bCs/>
          <w:lang w:val="es-ES"/>
        </w:rPr>
        <w:t>Considerando</w:t>
      </w:r>
      <w:r>
        <w:rPr>
          <w:rFonts w:eastAsia="Times New Roman"/>
          <w:lang w:val="es-ES"/>
        </w:rPr>
        <w:t>:</w:t>
      </w:r>
    </w:p>
    <w:p w14:paraId="301E5EC5" w14:textId="77777777" w:rsidR="00000000" w:rsidRDefault="00BD04EE">
      <w:pPr>
        <w:jc w:val="both"/>
        <w:divId w:val="2110537182"/>
        <w:rPr>
          <w:rFonts w:eastAsia="Times New Roman"/>
          <w:lang w:val="es-ES"/>
        </w:rPr>
      </w:pPr>
      <w:r>
        <w:rPr>
          <w:rFonts w:eastAsia="Times New Roman"/>
          <w:lang w:val="es-ES"/>
        </w:rPr>
        <w:br/>
        <w:t>Que el artículo 83 de la Constitución de la República del Ecuador establece que son deberes y responsabilidades de los habitantes del Ecuador, acatar y cumplir la Constitución, la ley y las decisiones legítimas de autoridad competente,</w:t>
      </w:r>
      <w:r>
        <w:rPr>
          <w:rFonts w:eastAsia="Times New Roman"/>
          <w:lang w:val="es-ES"/>
        </w:rPr>
        <w:t xml:space="preserve"> cooperar con el Estado y la comunidad, y pagar los tributos establecidos por la ley;</w:t>
      </w:r>
    </w:p>
    <w:p w14:paraId="18267F1D" w14:textId="77777777" w:rsidR="00000000" w:rsidRDefault="00BD04EE">
      <w:pPr>
        <w:jc w:val="both"/>
        <w:divId w:val="2110537182"/>
        <w:rPr>
          <w:rFonts w:eastAsia="Times New Roman"/>
          <w:lang w:val="es-ES"/>
        </w:rPr>
      </w:pPr>
      <w:r>
        <w:rPr>
          <w:rFonts w:eastAsia="Times New Roman"/>
          <w:lang w:val="es-ES"/>
        </w:rPr>
        <w:br/>
        <w:t>Que el artículo 226 de la Constitución de la República del Ecuador dispone que las instituciones del Estado, sus organismos, dependencias, las servidoras o servidores pú</w:t>
      </w:r>
      <w:r>
        <w:rPr>
          <w:rFonts w:eastAsia="Times New Roman"/>
          <w:lang w:val="es-ES"/>
        </w:rPr>
        <w:t>blicos y las personas que actúen en virtud de una potestad estatal ejercerán solamente las competencias y facultades que le sean atribuidas en la Constitución y la ley;</w:t>
      </w:r>
    </w:p>
    <w:p w14:paraId="17E74352" w14:textId="77777777" w:rsidR="00000000" w:rsidRDefault="00BD04EE">
      <w:pPr>
        <w:jc w:val="both"/>
        <w:divId w:val="2110537182"/>
        <w:rPr>
          <w:rFonts w:eastAsia="Times New Roman"/>
          <w:lang w:val="es-ES"/>
        </w:rPr>
      </w:pPr>
      <w:r>
        <w:rPr>
          <w:rFonts w:eastAsia="Times New Roman"/>
          <w:lang w:val="es-ES"/>
        </w:rPr>
        <w:br/>
        <w:t>Que el artículo 300 de la Constitución de la República del Ecuador señala que el régim</w:t>
      </w:r>
      <w:r>
        <w:rPr>
          <w:rFonts w:eastAsia="Times New Roman"/>
          <w:lang w:val="es-ES"/>
        </w:rPr>
        <w:t>en tributario se regirá por los principios de generalidad, progresividad, eficiencia, simplicidad administrativa, irretroactividad, equidad, transparencia y suficiencia recaudatoria. Se priorizarán los impuestos directos y progresivos;</w:t>
      </w:r>
    </w:p>
    <w:p w14:paraId="1E0E54B7" w14:textId="77777777" w:rsidR="00000000" w:rsidRDefault="00BD04EE">
      <w:pPr>
        <w:jc w:val="both"/>
        <w:divId w:val="2110537182"/>
        <w:rPr>
          <w:rFonts w:eastAsia="Times New Roman"/>
          <w:lang w:val="es-ES"/>
        </w:rPr>
      </w:pPr>
      <w:r>
        <w:rPr>
          <w:rFonts w:eastAsia="Times New Roman"/>
          <w:lang w:val="es-ES"/>
        </w:rPr>
        <w:br/>
        <w:t>Que el segundo inci</w:t>
      </w:r>
      <w:r>
        <w:rPr>
          <w:rFonts w:eastAsia="Times New Roman"/>
          <w:lang w:val="es-ES"/>
        </w:rPr>
        <w:t>so del artículo 68 del Código Tributario</w:t>
      </w:r>
      <w:r>
        <w:rPr>
          <w:rFonts w:eastAsia="Times New Roman"/>
          <w:i/>
          <w:iCs/>
          <w:lang w:val="es-ES"/>
        </w:rPr>
        <w:t xml:space="preserve"> </w:t>
      </w:r>
      <w:r>
        <w:rPr>
          <w:rFonts w:eastAsia="Times New Roman"/>
          <w:lang w:val="es-ES"/>
        </w:rPr>
        <w:t>dispone que el ejercicio de la facultad determinadora comprende la verificación, complementación o enmienda de las declaraciones de los contribuyentes o responsables; la composición del tributo correspondiente, cuan</w:t>
      </w:r>
      <w:r>
        <w:rPr>
          <w:rFonts w:eastAsia="Times New Roman"/>
          <w:lang w:val="es-ES"/>
        </w:rPr>
        <w:t>do se advierta la existencia de hechos imponibles, y la adopción de las medidas legales que se estime convenientes para esa determinación actuación;</w:t>
      </w:r>
    </w:p>
    <w:p w14:paraId="26D4C59A" w14:textId="77777777" w:rsidR="00000000" w:rsidRDefault="00BD04EE">
      <w:pPr>
        <w:jc w:val="both"/>
        <w:divId w:val="2110537182"/>
        <w:rPr>
          <w:rFonts w:eastAsia="Times New Roman"/>
          <w:lang w:val="es-ES"/>
        </w:rPr>
      </w:pPr>
      <w:r>
        <w:rPr>
          <w:rFonts w:eastAsia="Times New Roman"/>
          <w:lang w:val="es-ES"/>
        </w:rPr>
        <w:br/>
        <w:t>Que el artículo 73</w:t>
      </w:r>
      <w:r>
        <w:rPr>
          <w:rFonts w:eastAsia="Times New Roman"/>
          <w:i/>
          <w:iCs/>
          <w:lang w:val="es-ES"/>
        </w:rPr>
        <w:t xml:space="preserve"> ibídem</w:t>
      </w:r>
      <w:r>
        <w:rPr>
          <w:rFonts w:eastAsia="Times New Roman"/>
          <w:lang w:val="es-ES"/>
        </w:rPr>
        <w:t xml:space="preserve"> establece que la Administración Tributaria se desarrollará con arreglo a los pri</w:t>
      </w:r>
      <w:r>
        <w:rPr>
          <w:rFonts w:eastAsia="Times New Roman"/>
          <w:lang w:val="es-ES"/>
        </w:rPr>
        <w:t>ncipios de simplificación, celeridad y eficacia;</w:t>
      </w:r>
    </w:p>
    <w:p w14:paraId="4BAD659C" w14:textId="77777777" w:rsidR="00000000" w:rsidRDefault="00BD04EE">
      <w:pPr>
        <w:jc w:val="both"/>
        <w:divId w:val="2110537182"/>
        <w:rPr>
          <w:rFonts w:eastAsia="Times New Roman"/>
          <w:lang w:val="es-ES"/>
        </w:rPr>
      </w:pPr>
      <w:r>
        <w:rPr>
          <w:rFonts w:eastAsia="Times New Roman"/>
          <w:lang w:val="es-ES"/>
        </w:rPr>
        <w:br/>
        <w:t>Que el artículo 90 del mismo Código señala que el sujeto activo establecerá la obligación tributaria, en todos los casos en que ejerza su potestad determinadora, directa o presuntivamente;</w:t>
      </w:r>
    </w:p>
    <w:p w14:paraId="561FE225" w14:textId="77777777" w:rsidR="00000000" w:rsidRDefault="00BD04EE">
      <w:pPr>
        <w:jc w:val="both"/>
        <w:divId w:val="2110537182"/>
        <w:rPr>
          <w:rFonts w:eastAsia="Times New Roman"/>
          <w:lang w:val="es-ES"/>
        </w:rPr>
      </w:pPr>
      <w:r>
        <w:rPr>
          <w:rFonts w:eastAsia="Times New Roman"/>
          <w:lang w:val="es-ES"/>
        </w:rPr>
        <w:br/>
        <w:t xml:space="preserve">Que el artículo </w:t>
      </w:r>
      <w:r>
        <w:rPr>
          <w:rFonts w:eastAsia="Times New Roman"/>
          <w:lang w:val="es-ES"/>
        </w:rPr>
        <w:t>97 del Código de Trabajo ordena que el empleador o empresa reconocerá en beneficio de sus trabajadores el quince por ciento (15%) de las utilidades líquidas;</w:t>
      </w:r>
    </w:p>
    <w:p w14:paraId="2033826E" w14:textId="77777777" w:rsidR="00000000" w:rsidRDefault="00BD04EE">
      <w:pPr>
        <w:jc w:val="both"/>
        <w:divId w:val="2110537182"/>
        <w:rPr>
          <w:rFonts w:eastAsia="Times New Roman"/>
          <w:lang w:val="es-ES"/>
        </w:rPr>
      </w:pPr>
      <w:r>
        <w:rPr>
          <w:rFonts w:eastAsia="Times New Roman"/>
          <w:lang w:val="es-ES"/>
        </w:rPr>
        <w:br/>
        <w:t xml:space="preserve">Que el artículo 104 </w:t>
      </w:r>
      <w:r>
        <w:rPr>
          <w:rFonts w:eastAsia="Times New Roman"/>
          <w:i/>
          <w:iCs/>
          <w:lang w:val="es-ES"/>
        </w:rPr>
        <w:t>ibídem</w:t>
      </w:r>
      <w:r>
        <w:rPr>
          <w:rFonts w:eastAsia="Times New Roman"/>
          <w:lang w:val="es-ES"/>
        </w:rPr>
        <w:t xml:space="preserve"> dispone que para la determinación de las utilidades anuales de </w:t>
      </w:r>
      <w:r>
        <w:rPr>
          <w:rFonts w:eastAsia="Times New Roman"/>
          <w:lang w:val="es-ES"/>
        </w:rPr>
        <w:lastRenderedPageBreak/>
        <w:t>las res</w:t>
      </w:r>
      <w:r>
        <w:rPr>
          <w:rFonts w:eastAsia="Times New Roman"/>
          <w:lang w:val="es-ES"/>
        </w:rPr>
        <w:t>pectivas empresas, se tomarán como base las declaraciones o determinaciones que se hagan para el efecto del pago de impuesto a la renta;</w:t>
      </w:r>
    </w:p>
    <w:p w14:paraId="731F7965" w14:textId="77777777" w:rsidR="00000000" w:rsidRDefault="00BD04EE">
      <w:pPr>
        <w:jc w:val="both"/>
        <w:divId w:val="2110537182"/>
        <w:rPr>
          <w:rFonts w:eastAsia="Times New Roman"/>
          <w:lang w:val="es-ES"/>
        </w:rPr>
      </w:pPr>
      <w:r>
        <w:rPr>
          <w:rFonts w:eastAsia="Times New Roman"/>
          <w:lang w:val="es-ES"/>
        </w:rPr>
        <w:br/>
        <w:t>Que el artículo 23 de la Ley de Régimen Tributario Interno, dispone que la Administración Tributaria efectuará la dete</w:t>
      </w:r>
      <w:r>
        <w:rPr>
          <w:rFonts w:eastAsia="Times New Roman"/>
          <w:lang w:val="es-ES"/>
        </w:rPr>
        <w:t>rminación directa o presuntiva, conforme lo dispuesto en el Código Tributario, en los casos en que fuere procedente;</w:t>
      </w:r>
    </w:p>
    <w:p w14:paraId="198103D1" w14:textId="77777777" w:rsidR="00000000" w:rsidRDefault="00BD04EE">
      <w:pPr>
        <w:jc w:val="both"/>
        <w:divId w:val="2110537182"/>
        <w:rPr>
          <w:rFonts w:eastAsia="Times New Roman"/>
          <w:lang w:val="es-ES"/>
        </w:rPr>
      </w:pPr>
      <w:r>
        <w:rPr>
          <w:rFonts w:eastAsia="Times New Roman"/>
          <w:lang w:val="es-ES"/>
        </w:rPr>
        <w:br/>
        <w:t xml:space="preserve">Que los artículos 107A, 107B y 107C </w:t>
      </w:r>
      <w:r>
        <w:rPr>
          <w:rFonts w:eastAsia="Times New Roman"/>
          <w:i/>
          <w:iCs/>
          <w:lang w:val="es-ES"/>
        </w:rPr>
        <w:t xml:space="preserve">ibídem </w:t>
      </w:r>
      <w:r>
        <w:rPr>
          <w:rFonts w:eastAsia="Times New Roman"/>
          <w:lang w:val="es-ES"/>
        </w:rPr>
        <w:t>establecen el proceso para la emisión de Comunicaciones de Diferencias y “Liquidación de Pago p</w:t>
      </w:r>
      <w:r>
        <w:rPr>
          <w:rFonts w:eastAsia="Times New Roman"/>
          <w:lang w:val="es-ES"/>
        </w:rPr>
        <w:t>or Diferencias en la Declaración” o “Resolución de Aplicación de Diferencias”;</w:t>
      </w:r>
    </w:p>
    <w:p w14:paraId="057C209A" w14:textId="77777777" w:rsidR="00000000" w:rsidRDefault="00BD04EE">
      <w:pPr>
        <w:jc w:val="both"/>
        <w:divId w:val="2110537182"/>
        <w:rPr>
          <w:rFonts w:eastAsia="Times New Roman"/>
          <w:lang w:val="es-ES"/>
        </w:rPr>
      </w:pPr>
      <w:r>
        <w:rPr>
          <w:rFonts w:eastAsia="Times New Roman"/>
          <w:lang w:val="es-ES"/>
        </w:rPr>
        <w:br/>
        <w:t>Que los artículos 273 y 274 del Reglamento para la Aplicación a la Ley de Régimen Tributario Interno señalan el procedimiento para notificar a los sujetos pasivos las diferenci</w:t>
      </w:r>
      <w:r>
        <w:rPr>
          <w:rFonts w:eastAsia="Times New Roman"/>
          <w:lang w:val="es-ES"/>
        </w:rPr>
        <w:t>as que se hayan detectado en las declaraciones, para que en el plazo establecido legalmente, presenten las respectivas declaraciones sustitutivas y cancelen las diferencias o disminuyan las pérdidas o crédito tributario determinado o en su caso, justifique</w:t>
      </w:r>
      <w:r>
        <w:rPr>
          <w:rFonts w:eastAsia="Times New Roman"/>
          <w:lang w:val="es-ES"/>
        </w:rPr>
        <w:t>n las diferencias notificadas con los documentos probatorios pertinentes;</w:t>
      </w:r>
    </w:p>
    <w:p w14:paraId="05FB65DA" w14:textId="77777777" w:rsidR="00000000" w:rsidRDefault="00BD04EE">
      <w:pPr>
        <w:jc w:val="both"/>
        <w:divId w:val="2110537182"/>
        <w:rPr>
          <w:rFonts w:eastAsia="Times New Roman"/>
          <w:lang w:val="es-ES"/>
        </w:rPr>
      </w:pPr>
      <w:r>
        <w:rPr>
          <w:rFonts w:eastAsia="Times New Roman"/>
          <w:lang w:val="es-ES"/>
        </w:rPr>
        <w:br/>
        <w:t xml:space="preserve">Que el artículo 275 </w:t>
      </w:r>
      <w:r>
        <w:rPr>
          <w:rFonts w:eastAsia="Times New Roman"/>
          <w:i/>
          <w:iCs/>
          <w:lang w:val="es-ES"/>
        </w:rPr>
        <w:t>ibídem</w:t>
      </w:r>
      <w:r>
        <w:rPr>
          <w:rFonts w:eastAsia="Times New Roman"/>
          <w:lang w:val="es-ES"/>
        </w:rPr>
        <w:t xml:space="preserve"> establece que en los procesos de diferencias en los cuales los valores establecidos, comunicados y no justificados por el sujeto pasivo generen una utilid</w:t>
      </w:r>
      <w:r>
        <w:rPr>
          <w:rFonts w:eastAsia="Times New Roman"/>
          <w:lang w:val="es-ES"/>
        </w:rPr>
        <w:t xml:space="preserve">ad gravable que no concuerda con la realidad económica del contribuyente, en detrimento de su capacidad contributiva, la Administración Tributaria podrá utilizar factores de ajuste para establecer la base imponible, de conformidad con lo que se establezca </w:t>
      </w:r>
      <w:r>
        <w:rPr>
          <w:rFonts w:eastAsia="Times New Roman"/>
          <w:lang w:val="es-ES"/>
        </w:rPr>
        <w:t>en la resolución de carácter general que el Servicio de Rentas Internas emitirá para el efecto;</w:t>
      </w:r>
    </w:p>
    <w:p w14:paraId="187F0EA0" w14:textId="77777777" w:rsidR="00000000" w:rsidRDefault="00BD04EE">
      <w:pPr>
        <w:jc w:val="both"/>
        <w:divId w:val="2110537182"/>
        <w:rPr>
          <w:rFonts w:eastAsia="Times New Roman"/>
          <w:lang w:val="es-ES"/>
        </w:rPr>
      </w:pPr>
      <w:r>
        <w:rPr>
          <w:rFonts w:eastAsia="Times New Roman"/>
          <w:lang w:val="es-ES"/>
        </w:rPr>
        <w:br/>
        <w:t xml:space="preserve">Que el artículo innumerado a continuación del artículo 276 </w:t>
      </w:r>
      <w:r>
        <w:rPr>
          <w:rFonts w:eastAsia="Times New Roman"/>
          <w:i/>
          <w:iCs/>
          <w:lang w:val="es-ES"/>
        </w:rPr>
        <w:t>ibídem</w:t>
      </w:r>
      <w:r>
        <w:rPr>
          <w:rFonts w:eastAsia="Times New Roman"/>
          <w:lang w:val="es-ES"/>
        </w:rPr>
        <w:t xml:space="preserve"> establece el procedimiento para la aplicación de la determinación presuntiva mediante comunic</w:t>
      </w:r>
      <w:r>
        <w:rPr>
          <w:rFonts w:eastAsia="Times New Roman"/>
          <w:lang w:val="es-ES"/>
        </w:rPr>
        <w:t>ación de diferencias y liquidaciones de pago, señalando además que se utilizará factores de ajuste para el ejercicio de esta forma de determinación;</w:t>
      </w:r>
    </w:p>
    <w:p w14:paraId="5D60CCF7" w14:textId="77777777" w:rsidR="00000000" w:rsidRDefault="00BD04EE">
      <w:pPr>
        <w:jc w:val="both"/>
        <w:divId w:val="2110537182"/>
        <w:rPr>
          <w:rFonts w:eastAsia="Times New Roman"/>
          <w:lang w:val="es-ES"/>
        </w:rPr>
      </w:pPr>
      <w:r>
        <w:rPr>
          <w:rFonts w:eastAsia="Times New Roman"/>
          <w:lang w:val="es-ES"/>
        </w:rPr>
        <w:br/>
        <w:t xml:space="preserve">Que de acuerdo a lo establecido en el artículo 7 del Código Tributario, en concordancia con el artículo 8 </w:t>
      </w:r>
      <w:r>
        <w:rPr>
          <w:rFonts w:eastAsia="Times New Roman"/>
          <w:lang w:val="es-ES"/>
        </w:rPr>
        <w:t>de la Ley de Creación del Servicio de Rentas Internas, es facultad de la Directora General del Servicio de Rentas Internas expedir las resoluciones, circulares o disposiciones de carácter general y obligatorio necesarias para la aplicación de las normas le</w:t>
      </w:r>
      <w:r>
        <w:rPr>
          <w:rFonts w:eastAsia="Times New Roman"/>
          <w:lang w:val="es-ES"/>
        </w:rPr>
        <w:t>gales y reglamentarias;</w:t>
      </w:r>
    </w:p>
    <w:p w14:paraId="65A40C73" w14:textId="77777777" w:rsidR="00000000" w:rsidRDefault="00BD04EE">
      <w:pPr>
        <w:jc w:val="both"/>
        <w:divId w:val="2110537182"/>
        <w:rPr>
          <w:rFonts w:eastAsia="Times New Roman"/>
          <w:lang w:val="es-ES"/>
        </w:rPr>
      </w:pPr>
      <w:r>
        <w:rPr>
          <w:rFonts w:eastAsia="Times New Roman"/>
          <w:lang w:val="es-ES"/>
        </w:rPr>
        <w:br/>
        <w:t>Que es deber de la Administración Tributaria a través de la Directora General del Servicio de Rentas Internas expedir las normas necesarias para el desarrollo y la gestión de los procesos de comunicación de diferencias de conformid</w:t>
      </w:r>
      <w:r>
        <w:rPr>
          <w:rFonts w:eastAsia="Times New Roman"/>
          <w:lang w:val="es-ES"/>
        </w:rPr>
        <w:t>ad con lo dispuesto en la normativa citada anteriormente, que le permita al Servicio de Rentas Internas cumplir a cabalidad sus facultades; y,</w:t>
      </w:r>
    </w:p>
    <w:p w14:paraId="617E871E" w14:textId="77777777" w:rsidR="00000000" w:rsidRDefault="00BD04EE">
      <w:pPr>
        <w:jc w:val="both"/>
        <w:divId w:val="2110537182"/>
        <w:rPr>
          <w:rFonts w:eastAsia="Times New Roman"/>
          <w:lang w:val="es-ES"/>
        </w:rPr>
      </w:pPr>
      <w:r>
        <w:rPr>
          <w:rFonts w:eastAsia="Times New Roman"/>
          <w:lang w:val="es-ES"/>
        </w:rPr>
        <w:br/>
        <w:t>En ejercicio de sus facultades legales,</w:t>
      </w:r>
    </w:p>
    <w:p w14:paraId="4E1286F4" w14:textId="77777777" w:rsidR="00000000" w:rsidRDefault="00BD04EE">
      <w:pPr>
        <w:jc w:val="both"/>
        <w:divId w:val="2110537182"/>
        <w:rPr>
          <w:rFonts w:eastAsia="Times New Roman"/>
          <w:lang w:val="es-ES"/>
        </w:rPr>
      </w:pPr>
      <w:r>
        <w:rPr>
          <w:rFonts w:eastAsia="Times New Roman"/>
          <w:lang w:val="es-ES"/>
        </w:rPr>
        <w:br/>
      </w:r>
      <w:r>
        <w:rPr>
          <w:rFonts w:eastAsia="Times New Roman"/>
          <w:b/>
          <w:bCs/>
          <w:lang w:val="es-ES"/>
        </w:rPr>
        <w:t>Resuelve:</w:t>
      </w:r>
    </w:p>
    <w:p w14:paraId="37D01E8D" w14:textId="77777777" w:rsidR="00000000" w:rsidRDefault="00BD04EE">
      <w:pPr>
        <w:jc w:val="both"/>
        <w:divId w:val="2110537182"/>
        <w:rPr>
          <w:rFonts w:eastAsia="Times New Roman"/>
          <w:lang w:val="es-ES"/>
        </w:rPr>
      </w:pPr>
      <w:r>
        <w:rPr>
          <w:rFonts w:eastAsia="Times New Roman"/>
          <w:lang w:val="es-ES"/>
        </w:rPr>
        <w:br/>
        <w:t>Expedir las normas para establecer los factores de ajuste en</w:t>
      </w:r>
      <w:r>
        <w:rPr>
          <w:rFonts w:eastAsia="Times New Roman"/>
          <w:lang w:val="es-ES"/>
        </w:rPr>
        <w:t xml:space="preserve"> procesos de determinación de Impuesto a la Renta originados en comunicaciones de diferencias y liquidaciones de pago y su forma de aplicación</w:t>
      </w:r>
    </w:p>
    <w:p w14:paraId="4630CDE1" w14:textId="77777777" w:rsidR="00000000" w:rsidRDefault="00BD04EE">
      <w:pPr>
        <w:jc w:val="both"/>
        <w:divId w:val="314727103"/>
        <w:rPr>
          <w:rFonts w:eastAsia="Times New Roman"/>
          <w:lang w:val="es-ES"/>
        </w:rPr>
      </w:pPr>
      <w:r>
        <w:rPr>
          <w:rFonts w:eastAsia="Times New Roman"/>
          <w:lang w:val="es-ES"/>
        </w:rPr>
        <w:lastRenderedPageBreak/>
        <w:t>Art. 1.-</w:t>
      </w:r>
      <w:r>
        <w:rPr>
          <w:rFonts w:eastAsia="Times New Roman"/>
          <w:b/>
          <w:bCs/>
          <w:lang w:val="es-ES"/>
        </w:rPr>
        <w:t xml:space="preserve"> Ámbito de aplicación.-</w:t>
      </w:r>
      <w:r>
        <w:rPr>
          <w:rFonts w:eastAsia="Times New Roman"/>
          <w:b/>
          <w:bCs/>
          <w:lang w:val="es-ES"/>
        </w:rPr>
        <w:t xml:space="preserve"> </w:t>
      </w:r>
      <w:r>
        <w:rPr>
          <w:rFonts w:eastAsia="Times New Roman"/>
          <w:lang w:val="es-ES"/>
        </w:rPr>
        <w:t>Los factores de ajuste a los que se refiere la presente resolución, en concordanc</w:t>
      </w:r>
      <w:r>
        <w:rPr>
          <w:rFonts w:eastAsia="Times New Roman"/>
          <w:lang w:val="es-ES"/>
        </w:rPr>
        <w:t>ia con lo dispuesto en el artículo 275 y el artículo innumerado después del artículo 276 del Reglamento para la Aplicación de la Ley de Régimen Tributario Interno, se podrá aplicar en los casos que se verifique un detrimento de la capacidad contributiva de</w:t>
      </w:r>
      <w:r>
        <w:rPr>
          <w:rFonts w:eastAsia="Times New Roman"/>
          <w:lang w:val="es-ES"/>
        </w:rPr>
        <w:t xml:space="preserve"> los sujetos pasivos en procesos de determinación directa o presuntiva mediante comunicaciones de diferencias y liquidaciones de pago.</w:t>
      </w:r>
    </w:p>
    <w:p w14:paraId="59571597" w14:textId="77777777" w:rsidR="00000000" w:rsidRDefault="00BD04EE">
      <w:pPr>
        <w:jc w:val="both"/>
        <w:divId w:val="51736686"/>
        <w:rPr>
          <w:rFonts w:eastAsia="Times New Roman"/>
          <w:lang w:val="es-ES"/>
        </w:rPr>
      </w:pPr>
      <w:r>
        <w:rPr>
          <w:rFonts w:eastAsia="Times New Roman"/>
          <w:lang w:val="es-ES"/>
        </w:rPr>
        <w:t>Art. 2.-</w:t>
      </w:r>
      <w:r>
        <w:rPr>
          <w:rFonts w:eastAsia="Times New Roman"/>
          <w:b/>
          <w:bCs/>
          <w:lang w:val="es-ES"/>
        </w:rPr>
        <w:t xml:space="preserve"> Definiciones.</w:t>
      </w:r>
      <w:r>
        <w:rPr>
          <w:rFonts w:eastAsia="Times New Roman"/>
          <w:b/>
          <w:bCs/>
          <w:lang w:val="es-ES"/>
        </w:rPr>
        <w:t>-</w:t>
      </w:r>
      <w:r>
        <w:rPr>
          <w:rFonts w:eastAsia="Times New Roman"/>
          <w:b/>
          <w:bCs/>
          <w:lang w:val="es-ES"/>
        </w:rPr>
        <w:t xml:space="preserve"> </w:t>
      </w:r>
      <w:r>
        <w:rPr>
          <w:rFonts w:eastAsia="Times New Roman"/>
          <w:lang w:val="es-ES"/>
        </w:rPr>
        <w:t>Para efectos de la aplicación del presente acto normativo, entiéndase las siguientes definiciones:</w:t>
      </w:r>
    </w:p>
    <w:p w14:paraId="7CE42E6C" w14:textId="77777777" w:rsidR="00000000" w:rsidRDefault="00BD04EE">
      <w:pPr>
        <w:jc w:val="both"/>
        <w:divId w:val="51736686"/>
        <w:rPr>
          <w:rFonts w:eastAsia="Times New Roman"/>
          <w:lang w:val="es-ES"/>
        </w:rPr>
      </w:pPr>
      <w:r>
        <w:rPr>
          <w:rFonts w:eastAsia="Times New Roman"/>
          <w:lang w:val="es-ES"/>
        </w:rPr>
        <w:br/>
        <w:t xml:space="preserve">a) </w:t>
      </w:r>
      <w:r>
        <w:rPr>
          <w:rFonts w:eastAsia="Times New Roman"/>
          <w:b/>
          <w:bCs/>
          <w:lang w:val="es-ES"/>
        </w:rPr>
        <w:t>Índice de Rentabilidad Determinado.-</w:t>
      </w:r>
      <w:r>
        <w:rPr>
          <w:rFonts w:eastAsia="Times New Roman"/>
          <w:lang w:val="es-ES"/>
        </w:rPr>
        <w:t xml:space="preserve"> Es el indicador que permite medir la utilidad determinada por la Administración Tributaria para cada actividad econó</w:t>
      </w:r>
      <w:r>
        <w:rPr>
          <w:rFonts w:eastAsia="Times New Roman"/>
          <w:lang w:val="es-ES"/>
        </w:rPr>
        <w:t>mica frente a los ingresos gravables determinados para la misma actividad, aplicando la siguiente fórmula:</w:t>
      </w:r>
    </w:p>
    <w:p w14:paraId="58D5ED01" w14:textId="77777777" w:rsidR="00000000" w:rsidRDefault="00BD04EE">
      <w:pPr>
        <w:jc w:val="both"/>
        <w:rPr>
          <w:rFonts w:eastAsia="Times New Roman"/>
          <w:lang w:val="es-ES"/>
        </w:rPr>
      </w:pP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778"/>
        <w:gridCol w:w="6188"/>
      </w:tblGrid>
      <w:tr w:rsidR="00000000" w14:paraId="5605DB44"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1F21E4D" w14:textId="77777777" w:rsidR="00000000" w:rsidRDefault="00BD04EE">
            <w:pPr>
              <w:jc w:val="center"/>
              <w:rPr>
                <w:rFonts w:eastAsia="Times New Roman"/>
              </w:rPr>
            </w:pPr>
            <w:r>
              <w:rPr>
                <w:rFonts w:eastAsia="Times New Roman"/>
                <w:b/>
                <w:bCs/>
                <w:vertAlign w:val="superscript"/>
              </w:rPr>
              <w:t>Índice de Rentabilidad =</w:t>
            </w:r>
            <w:r>
              <w:rPr>
                <w:rFonts w:eastAsia="Times New Roman"/>
                <w:b/>
                <w:bCs/>
              </w:rPr>
              <w:t> </w:t>
            </w:r>
          </w:p>
        </w:tc>
        <w:tc>
          <w:tcPr>
            <w:tcW w:w="0" w:type="auto"/>
            <w:tcBorders>
              <w:top w:val="outset" w:sz="6" w:space="0" w:color="auto"/>
              <w:left w:val="outset" w:sz="6" w:space="0" w:color="auto"/>
              <w:bottom w:val="nil"/>
              <w:right w:val="outset" w:sz="6" w:space="0" w:color="auto"/>
            </w:tcBorders>
            <w:vAlign w:val="center"/>
            <w:hideMark/>
          </w:tcPr>
          <w:p w14:paraId="608128C4" w14:textId="77777777" w:rsidR="00000000" w:rsidRDefault="00BD04EE">
            <w:pPr>
              <w:jc w:val="center"/>
              <w:rPr>
                <w:rFonts w:eastAsia="Times New Roman"/>
              </w:rPr>
            </w:pPr>
            <w:r>
              <w:rPr>
                <w:rFonts w:eastAsia="Times New Roman"/>
              </w:rPr>
              <w:t>Utilidad gravable determinada para cada actividad económica</w:t>
            </w:r>
          </w:p>
        </w:tc>
      </w:tr>
      <w:tr w:rsidR="00000000" w14:paraId="25813FC9"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9B9A768" w14:textId="77777777" w:rsidR="00000000" w:rsidRDefault="00BD04EE">
            <w:pPr>
              <w:jc w:val="both"/>
              <w:rPr>
                <w:rFonts w:eastAsia="Times New Roman"/>
              </w:rPr>
            </w:pPr>
            <w:r>
              <w:rPr>
                <w:rFonts w:eastAsia="Times New Roman"/>
              </w:rPr>
              <w:t> </w:t>
            </w:r>
          </w:p>
        </w:tc>
        <w:tc>
          <w:tcPr>
            <w:tcW w:w="0" w:type="auto"/>
            <w:tcBorders>
              <w:top w:val="nil"/>
              <w:left w:val="outset" w:sz="6" w:space="0" w:color="auto"/>
              <w:bottom w:val="outset" w:sz="6" w:space="0" w:color="auto"/>
              <w:right w:val="outset" w:sz="6" w:space="0" w:color="auto"/>
            </w:tcBorders>
            <w:vAlign w:val="center"/>
            <w:hideMark/>
          </w:tcPr>
          <w:p w14:paraId="2258033F" w14:textId="77777777" w:rsidR="00000000" w:rsidRDefault="00BD04EE">
            <w:pPr>
              <w:jc w:val="center"/>
              <w:rPr>
                <w:rFonts w:eastAsia="Times New Roman"/>
              </w:rPr>
            </w:pPr>
            <w:r>
              <w:rPr>
                <w:rFonts w:eastAsia="Times New Roman"/>
              </w:rPr>
              <w:t>Ingresos gravables determinados para cada actividad econó</w:t>
            </w:r>
            <w:r>
              <w:rPr>
                <w:rFonts w:eastAsia="Times New Roman"/>
              </w:rPr>
              <w:t>mica</w:t>
            </w:r>
          </w:p>
        </w:tc>
      </w:tr>
    </w:tbl>
    <w:p w14:paraId="6A78C8D3" w14:textId="77777777" w:rsidR="00000000" w:rsidRDefault="00BD04EE">
      <w:pPr>
        <w:jc w:val="both"/>
        <w:divId w:val="1899977898"/>
        <w:rPr>
          <w:rFonts w:eastAsia="Times New Roman"/>
          <w:lang w:val="es-ES"/>
        </w:rPr>
      </w:pPr>
      <w:r>
        <w:rPr>
          <w:rFonts w:eastAsia="Times New Roman"/>
          <w:lang w:val="es-ES"/>
        </w:rPr>
        <w:t>La utilidad gravable para personas naturales no obligadas a llevar contabilidad es el resultado de la diferencia de los ingresos gravados menos los gastos deducibles. Se excluyen de esta regla las excepciones señaladas en el artículo 5 de la presente</w:t>
      </w:r>
      <w:r>
        <w:rPr>
          <w:rFonts w:eastAsia="Times New Roman"/>
          <w:lang w:val="es-ES"/>
        </w:rPr>
        <w:t xml:space="preserve"> Resolución y los gastos personales.</w:t>
      </w:r>
    </w:p>
    <w:p w14:paraId="36BD3972" w14:textId="77777777" w:rsidR="00000000" w:rsidRDefault="00BD04EE">
      <w:pPr>
        <w:jc w:val="both"/>
        <w:divId w:val="1899977898"/>
        <w:rPr>
          <w:rFonts w:eastAsia="Times New Roman"/>
          <w:lang w:val="es-ES"/>
        </w:rPr>
      </w:pPr>
      <w:r>
        <w:rPr>
          <w:rFonts w:eastAsia="Times New Roman"/>
          <w:lang w:val="es-ES"/>
        </w:rPr>
        <w:br/>
        <w:t>Cuando el contribuyente obtenga ingresos en más de una actividad económica y no sea posible identificar la proporción de la utilidad y el ingreso que corresponde a cada actividad económica, el índice de rentabilidad es</w:t>
      </w:r>
      <w:r>
        <w:rPr>
          <w:rFonts w:eastAsia="Times New Roman"/>
          <w:lang w:val="es-ES"/>
        </w:rPr>
        <w:t>tablecido se comparará considerando el factor de ajuste aplicable a la actividad económica principal señalada en el Registro Único de Contribuyentes al 31 de diciembre del ejercicio fiscal en revisión.</w:t>
      </w:r>
    </w:p>
    <w:p w14:paraId="14518862" w14:textId="77777777" w:rsidR="00000000" w:rsidRDefault="00BD04EE">
      <w:pPr>
        <w:jc w:val="both"/>
        <w:divId w:val="1899977898"/>
        <w:rPr>
          <w:rFonts w:eastAsia="Times New Roman"/>
          <w:lang w:val="es-ES"/>
        </w:rPr>
      </w:pPr>
      <w:r>
        <w:rPr>
          <w:rFonts w:eastAsia="Times New Roman"/>
          <w:lang w:val="es-ES"/>
        </w:rPr>
        <w:br/>
        <w:t xml:space="preserve">b) </w:t>
      </w:r>
      <w:r>
        <w:rPr>
          <w:rFonts w:eastAsia="Times New Roman"/>
          <w:b/>
          <w:bCs/>
          <w:lang w:val="es-ES"/>
        </w:rPr>
        <w:t>Factores de Ajuste.-</w:t>
      </w:r>
      <w:r>
        <w:rPr>
          <w:rFonts w:eastAsia="Times New Roman"/>
          <w:lang w:val="es-ES"/>
        </w:rPr>
        <w:t xml:space="preserve"> Son los coeficientes de estim</w:t>
      </w:r>
      <w:r>
        <w:rPr>
          <w:rFonts w:eastAsia="Times New Roman"/>
          <w:lang w:val="es-ES"/>
        </w:rPr>
        <w:t>ación presuntiva de carácter general por rama de actividad económica, fijados para cada ejercicio fiscal por el Director General del Servicio de Rentas Internas mediante resolución.</w:t>
      </w:r>
    </w:p>
    <w:p w14:paraId="16E9D366" w14:textId="77777777" w:rsidR="00000000" w:rsidRDefault="00BD04EE">
      <w:pPr>
        <w:jc w:val="both"/>
        <w:divId w:val="1899977898"/>
        <w:rPr>
          <w:rFonts w:eastAsia="Times New Roman"/>
          <w:lang w:val="es-ES"/>
        </w:rPr>
      </w:pPr>
      <w:r>
        <w:rPr>
          <w:rFonts w:eastAsia="Times New Roman"/>
          <w:lang w:val="es-ES"/>
        </w:rPr>
        <w:br/>
        <w:t>En los casos en que existan porcentajes específicos establecidos en la Le</w:t>
      </w:r>
      <w:r>
        <w:rPr>
          <w:rFonts w:eastAsia="Times New Roman"/>
          <w:lang w:val="es-ES"/>
        </w:rPr>
        <w:t>y de Régimen Tributario Interno o su reglamento de aplicación, el factor de ajuste aplicable será dicho porcentaje.</w:t>
      </w:r>
    </w:p>
    <w:p w14:paraId="235FA196" w14:textId="77777777" w:rsidR="00000000" w:rsidRDefault="00BD04EE">
      <w:pPr>
        <w:jc w:val="both"/>
        <w:divId w:val="1899977898"/>
        <w:rPr>
          <w:rFonts w:eastAsia="Times New Roman"/>
          <w:lang w:val="es-ES"/>
        </w:rPr>
      </w:pPr>
      <w:r>
        <w:rPr>
          <w:rFonts w:eastAsia="Times New Roman"/>
          <w:lang w:val="es-ES"/>
        </w:rPr>
        <w:br/>
        <w:t xml:space="preserve">Para las determinaciones presuntivas mediante comunicaciones de diferencias, también se podrán aplicar como factores de ajuste los índices </w:t>
      </w:r>
      <w:r>
        <w:rPr>
          <w:rFonts w:eastAsia="Times New Roman"/>
          <w:lang w:val="es-ES"/>
        </w:rPr>
        <w:t>de comparabilidad detallados en la liquidación de pago.</w:t>
      </w:r>
    </w:p>
    <w:p w14:paraId="26C6AD71" w14:textId="77777777" w:rsidR="00000000" w:rsidRDefault="00BD04EE">
      <w:pPr>
        <w:jc w:val="both"/>
        <w:divId w:val="1899977898"/>
        <w:rPr>
          <w:rFonts w:eastAsia="Times New Roman"/>
          <w:lang w:val="es-ES"/>
        </w:rPr>
      </w:pPr>
      <w:r>
        <w:rPr>
          <w:rFonts w:eastAsia="Times New Roman"/>
          <w:lang w:val="es-ES"/>
        </w:rPr>
        <w:br/>
        <w:t xml:space="preserve">c) </w:t>
      </w:r>
      <w:r>
        <w:rPr>
          <w:rFonts w:eastAsia="Times New Roman"/>
          <w:b/>
          <w:bCs/>
          <w:lang w:val="es-ES"/>
        </w:rPr>
        <w:t xml:space="preserve">Detrimento de la capacidad contributiva.- </w:t>
      </w:r>
      <w:r>
        <w:rPr>
          <w:rFonts w:eastAsia="Times New Roman"/>
          <w:lang w:val="es-ES"/>
        </w:rPr>
        <w:t xml:space="preserve">Se produce cuando el índice de rentabilidad determinado por el Servicio de Rentas Internas para cada actividad económica sea superior al factor de ajuste </w:t>
      </w:r>
      <w:r>
        <w:rPr>
          <w:rFonts w:eastAsia="Times New Roman"/>
          <w:lang w:val="es-ES"/>
        </w:rPr>
        <w:t>correspondiente.</w:t>
      </w:r>
    </w:p>
    <w:p w14:paraId="2EF89980" w14:textId="77777777" w:rsidR="00000000" w:rsidRDefault="00BD04EE">
      <w:pPr>
        <w:jc w:val="both"/>
        <w:divId w:val="224143039"/>
        <w:rPr>
          <w:rFonts w:eastAsia="Times New Roman"/>
          <w:lang w:val="es-ES"/>
        </w:rPr>
      </w:pPr>
      <w:r>
        <w:rPr>
          <w:rFonts w:eastAsia="Times New Roman"/>
          <w:lang w:val="es-ES"/>
        </w:rPr>
        <w:t>Art. 3.-</w:t>
      </w:r>
      <w:r>
        <w:rPr>
          <w:rFonts w:eastAsia="Times New Roman"/>
          <w:b/>
          <w:bCs/>
          <w:lang w:val="es-ES"/>
        </w:rPr>
        <w:t xml:space="preserve"> Aplicación de los factores de ajuste en la determinación directa.-</w:t>
      </w:r>
      <w:r>
        <w:rPr>
          <w:rFonts w:eastAsia="Times New Roman"/>
          <w:lang w:val="es-ES"/>
        </w:rPr>
        <w:t xml:space="preserve"> </w:t>
      </w:r>
      <w:r>
        <w:rPr>
          <w:rFonts w:eastAsia="Times New Roman"/>
          <w:lang w:val="es-ES"/>
        </w:rPr>
        <w:t xml:space="preserve">De establecerse que existe detrimento en la capacidad contributiva del sujeto pasivo, el Servicio de Rentas Internas podrá establecer la base imponible, dentro de </w:t>
      </w:r>
      <w:r>
        <w:rPr>
          <w:rFonts w:eastAsia="Times New Roman"/>
          <w:lang w:val="es-ES"/>
        </w:rPr>
        <w:t>una determinación directa, multiplicando el rubro de ingresos declarados por el sujeto pasivo o los determinados por el Servicio de Rentas Internas, por el factor de ajuste correspondiente al rubro de ingresos.</w:t>
      </w:r>
    </w:p>
    <w:p w14:paraId="122587FD" w14:textId="77777777" w:rsidR="00000000" w:rsidRDefault="00BD04EE">
      <w:pPr>
        <w:jc w:val="both"/>
        <w:divId w:val="224143039"/>
        <w:rPr>
          <w:rFonts w:eastAsia="Times New Roman"/>
          <w:lang w:val="es-ES"/>
        </w:rPr>
      </w:pPr>
      <w:r>
        <w:rPr>
          <w:rFonts w:eastAsia="Times New Roman"/>
          <w:lang w:val="es-ES"/>
        </w:rPr>
        <w:br/>
        <w:t>Cuando exista más de una actividad económica</w:t>
      </w:r>
      <w:r>
        <w:rPr>
          <w:rFonts w:eastAsia="Times New Roman"/>
          <w:lang w:val="es-ES"/>
        </w:rPr>
        <w:t xml:space="preserve">, la base imponible determinada resultará de la sumatoria de aplicar el factor de ajuste correspondiente a los ingresos de cada </w:t>
      </w:r>
      <w:r>
        <w:rPr>
          <w:rFonts w:eastAsia="Times New Roman"/>
          <w:lang w:val="es-ES"/>
        </w:rPr>
        <w:lastRenderedPageBreak/>
        <w:t>actividad económica. En caso de que no sea posible identificar con certeza a qué actividad económica se relacionan los ingresos,</w:t>
      </w:r>
      <w:r>
        <w:rPr>
          <w:rFonts w:eastAsia="Times New Roman"/>
          <w:lang w:val="es-ES"/>
        </w:rPr>
        <w:t xml:space="preserve"> se deberá aplicar el factor de ajuste correspondiente a la actividad económica que conste como principal en el Registro Único de Contribuyentes al 31 de diciembre del ejercicio fiscal en verificación.</w:t>
      </w:r>
    </w:p>
    <w:p w14:paraId="44DEA923" w14:textId="77777777" w:rsidR="00000000" w:rsidRDefault="00BD04EE">
      <w:pPr>
        <w:jc w:val="both"/>
        <w:divId w:val="224143039"/>
        <w:rPr>
          <w:rFonts w:eastAsia="Times New Roman"/>
          <w:lang w:val="es-ES"/>
        </w:rPr>
      </w:pPr>
      <w:r>
        <w:rPr>
          <w:rFonts w:eastAsia="Times New Roman"/>
          <w:lang w:val="es-ES"/>
        </w:rPr>
        <w:br/>
        <w:t>En el caso de personas naturales que tengan más de un</w:t>
      </w:r>
      <w:r>
        <w:rPr>
          <w:rFonts w:eastAsia="Times New Roman"/>
          <w:lang w:val="es-ES"/>
        </w:rPr>
        <w:t>a actividad económica, la base imponible determinada se obtendrá de la siguiente manera:</w:t>
      </w:r>
    </w:p>
    <w:p w14:paraId="2D0B6E58" w14:textId="77777777" w:rsidR="00000000" w:rsidRDefault="00BD04EE">
      <w:pPr>
        <w:jc w:val="both"/>
        <w:divId w:val="224143039"/>
        <w:rPr>
          <w:rFonts w:eastAsia="Times New Roman"/>
          <w:lang w:val="es-ES"/>
        </w:rPr>
      </w:pPr>
      <w:r>
        <w:rPr>
          <w:rFonts w:eastAsia="Times New Roman"/>
          <w:lang w:val="es-ES"/>
        </w:rPr>
        <w:br/>
        <w:t>1. Se sumarán las bases imponibles de las actividades en las que se aplicó el factor de ajuste a las bases imponibles de las actividades en las que no se aplicó tal a</w:t>
      </w:r>
      <w:r>
        <w:rPr>
          <w:rFonts w:eastAsia="Times New Roman"/>
          <w:lang w:val="es-ES"/>
        </w:rPr>
        <w:t>juste.</w:t>
      </w:r>
    </w:p>
    <w:p w14:paraId="2A94FC83" w14:textId="77777777" w:rsidR="00000000" w:rsidRDefault="00BD04EE">
      <w:pPr>
        <w:jc w:val="both"/>
        <w:divId w:val="224143039"/>
        <w:rPr>
          <w:rFonts w:eastAsia="Times New Roman"/>
          <w:lang w:val="es-ES"/>
        </w:rPr>
      </w:pPr>
      <w:r>
        <w:rPr>
          <w:rFonts w:eastAsia="Times New Roman"/>
          <w:lang w:val="es-ES"/>
        </w:rPr>
        <w:br/>
        <w:t>2. Finalmente, se restará al subtotal determinado en el punto 1 del presente artículo, las exoneraciones establecidas en el numeral 12 del artículo 9 de la Ley de Régimen Tributario Interno para las personas con discapacidad y tercera edad.</w:t>
      </w:r>
    </w:p>
    <w:p w14:paraId="30A7FF90" w14:textId="77777777" w:rsidR="00000000" w:rsidRDefault="00BD04EE">
      <w:pPr>
        <w:jc w:val="both"/>
        <w:divId w:val="224143039"/>
        <w:rPr>
          <w:rFonts w:eastAsia="Times New Roman"/>
          <w:lang w:val="es-ES"/>
        </w:rPr>
      </w:pPr>
      <w:r>
        <w:rPr>
          <w:rFonts w:eastAsia="Times New Roman"/>
          <w:lang w:val="es-ES"/>
        </w:rPr>
        <w:br/>
      </w:r>
      <w:r>
        <w:rPr>
          <w:rFonts w:eastAsia="Times New Roman"/>
          <w:lang w:val="es-ES"/>
        </w:rPr>
        <w:t>3. Al impuesto causado determinado, deberá sumarse los impuestos únicos, de existir.</w:t>
      </w:r>
    </w:p>
    <w:p w14:paraId="38040636" w14:textId="77777777" w:rsidR="00000000" w:rsidRDefault="00BD04EE">
      <w:pPr>
        <w:jc w:val="both"/>
        <w:divId w:val="2013991206"/>
        <w:rPr>
          <w:rFonts w:eastAsia="Times New Roman"/>
          <w:lang w:val="es-ES"/>
        </w:rPr>
      </w:pPr>
      <w:r>
        <w:rPr>
          <w:rFonts w:eastAsia="Times New Roman"/>
          <w:lang w:val="es-ES"/>
        </w:rPr>
        <w:t>Art. 4.-</w:t>
      </w:r>
      <w:r>
        <w:rPr>
          <w:rFonts w:eastAsia="Times New Roman"/>
          <w:b/>
          <w:bCs/>
          <w:lang w:val="es-ES"/>
        </w:rPr>
        <w:t xml:space="preserve"> Aplicación de los factores de ajuste en la determinación presuntiva originada en comunicaciones de diferencias y liquidaciones de pago.</w:t>
      </w:r>
      <w:r>
        <w:rPr>
          <w:rFonts w:eastAsia="Times New Roman"/>
          <w:b/>
          <w:bCs/>
          <w:lang w:val="es-ES"/>
        </w:rPr>
        <w:t>-</w:t>
      </w:r>
      <w:r>
        <w:rPr>
          <w:rFonts w:eastAsia="Times New Roman"/>
          <w:b/>
          <w:bCs/>
          <w:lang w:val="es-ES"/>
        </w:rPr>
        <w:t xml:space="preserve"> </w:t>
      </w:r>
      <w:r>
        <w:rPr>
          <w:rFonts w:eastAsia="Times New Roman"/>
          <w:lang w:val="es-ES"/>
        </w:rPr>
        <w:t>Para efectos de la determ</w:t>
      </w:r>
      <w:r>
        <w:rPr>
          <w:rFonts w:eastAsia="Times New Roman"/>
          <w:lang w:val="es-ES"/>
        </w:rPr>
        <w:t xml:space="preserve">inación presuntiva prevista en el artículo innumerado a continuación del artículo 276 del Reglamento para la Aplicación de la Ley de Régimen Tributario Interno, se podrá aplicar el factor de ajuste que corresponda a los rubros de activos, ingresos, costos </w:t>
      </w:r>
      <w:r>
        <w:rPr>
          <w:rFonts w:eastAsia="Times New Roman"/>
          <w:lang w:val="es-ES"/>
        </w:rPr>
        <w:t>y gastos. Cuando en la determinación se identifiquen más de dos rubros, se aplicará el factor de ajuste respectivo a cada uno de ellos y se considerará como base imponible presunta a la que resulte mayor.</w:t>
      </w:r>
    </w:p>
    <w:p w14:paraId="0D6F29BA" w14:textId="77777777" w:rsidR="00000000" w:rsidRDefault="00BD04EE">
      <w:pPr>
        <w:jc w:val="both"/>
        <w:divId w:val="2013991206"/>
        <w:rPr>
          <w:rFonts w:eastAsia="Times New Roman"/>
          <w:lang w:val="es-ES"/>
        </w:rPr>
      </w:pPr>
      <w:r>
        <w:rPr>
          <w:rFonts w:eastAsia="Times New Roman"/>
          <w:lang w:val="es-ES"/>
        </w:rPr>
        <w:br/>
        <w:t>En el caso de personas naturales que tengan más de</w:t>
      </w:r>
      <w:r>
        <w:rPr>
          <w:rFonts w:eastAsia="Times New Roman"/>
          <w:lang w:val="es-ES"/>
        </w:rPr>
        <w:t xml:space="preserve"> una actividad económica, la base imponible determinada se obtendrá conforme lo establecido en el artículo 3 de la presente resolución.</w:t>
      </w:r>
    </w:p>
    <w:p w14:paraId="7CA06B74" w14:textId="77777777" w:rsidR="00000000" w:rsidRDefault="00BD04EE">
      <w:pPr>
        <w:jc w:val="both"/>
        <w:divId w:val="1942105788"/>
        <w:rPr>
          <w:rFonts w:eastAsia="Times New Roman"/>
          <w:lang w:val="es-ES"/>
        </w:rPr>
      </w:pPr>
      <w:r>
        <w:rPr>
          <w:rFonts w:eastAsia="Times New Roman"/>
          <w:lang w:val="es-ES"/>
        </w:rPr>
        <w:t>Art. 5.-</w:t>
      </w:r>
      <w:r>
        <w:rPr>
          <w:rFonts w:eastAsia="Times New Roman"/>
          <w:b/>
          <w:bCs/>
          <w:lang w:val="es-ES"/>
        </w:rPr>
        <w:t xml:space="preserve"> Excepciones.</w:t>
      </w:r>
      <w:r>
        <w:rPr>
          <w:rFonts w:eastAsia="Times New Roman"/>
          <w:b/>
          <w:bCs/>
          <w:lang w:val="es-ES"/>
        </w:rPr>
        <w:t>-</w:t>
      </w:r>
      <w:r>
        <w:rPr>
          <w:rFonts w:eastAsia="Times New Roman"/>
          <w:lang w:val="es-ES"/>
        </w:rPr>
        <w:t xml:space="preserve"> No serán aplicables los factores de ajuste sobre los ingresos provenientes del:</w:t>
      </w:r>
    </w:p>
    <w:p w14:paraId="31474BC2" w14:textId="77777777" w:rsidR="00000000" w:rsidRDefault="00BD04EE">
      <w:pPr>
        <w:jc w:val="both"/>
        <w:divId w:val="1942105788"/>
        <w:rPr>
          <w:rFonts w:eastAsia="Times New Roman"/>
          <w:lang w:val="es-ES"/>
        </w:rPr>
      </w:pPr>
      <w:r>
        <w:rPr>
          <w:rFonts w:eastAsia="Times New Roman"/>
          <w:lang w:val="es-ES"/>
        </w:rPr>
        <w:br/>
        <w:t>1. Capital o pat</w:t>
      </w:r>
      <w:r>
        <w:rPr>
          <w:rFonts w:eastAsia="Times New Roman"/>
          <w:lang w:val="es-ES"/>
        </w:rPr>
        <w:t>rimonio;</w:t>
      </w:r>
    </w:p>
    <w:p w14:paraId="17322CD1" w14:textId="77777777" w:rsidR="00000000" w:rsidRDefault="00BD04EE">
      <w:pPr>
        <w:jc w:val="both"/>
        <w:divId w:val="1942105788"/>
        <w:rPr>
          <w:rFonts w:eastAsia="Times New Roman"/>
          <w:lang w:val="es-ES"/>
        </w:rPr>
      </w:pPr>
      <w:r>
        <w:rPr>
          <w:rFonts w:eastAsia="Times New Roman"/>
          <w:lang w:val="es-ES"/>
        </w:rPr>
        <w:br/>
        <w:t>2. Trabajo en relación de dependencia;</w:t>
      </w:r>
    </w:p>
    <w:p w14:paraId="7AEE1182" w14:textId="77777777" w:rsidR="00000000" w:rsidRDefault="00BD04EE">
      <w:pPr>
        <w:jc w:val="both"/>
        <w:divId w:val="1942105788"/>
        <w:rPr>
          <w:rFonts w:eastAsia="Times New Roman"/>
          <w:lang w:val="es-ES"/>
        </w:rPr>
      </w:pPr>
      <w:r>
        <w:rPr>
          <w:rFonts w:eastAsia="Times New Roman"/>
          <w:lang w:val="es-ES"/>
        </w:rPr>
        <w:br/>
        <w:t>3. Ganancias provenientes de la enajenación de derechos representativos de capital y otros derechos de exploración, explotación o similares;</w:t>
      </w:r>
    </w:p>
    <w:p w14:paraId="1A22A24A" w14:textId="77777777" w:rsidR="00000000" w:rsidRDefault="00BD04EE">
      <w:pPr>
        <w:jc w:val="both"/>
        <w:divId w:val="1942105788"/>
        <w:rPr>
          <w:rFonts w:eastAsia="Times New Roman"/>
          <w:lang w:val="es-ES"/>
        </w:rPr>
      </w:pPr>
      <w:r>
        <w:rPr>
          <w:rFonts w:eastAsia="Times New Roman"/>
          <w:lang w:val="es-ES"/>
        </w:rPr>
        <w:br/>
        <w:t>4. Exploración, explotación, transporte y comercialización de re</w:t>
      </w:r>
      <w:r>
        <w:rPr>
          <w:rFonts w:eastAsia="Times New Roman"/>
          <w:lang w:val="es-ES"/>
        </w:rPr>
        <w:t>cursos naturales no renovables;</w:t>
      </w:r>
    </w:p>
    <w:p w14:paraId="3DB8A050" w14:textId="77777777" w:rsidR="00000000" w:rsidRDefault="00BD04EE">
      <w:pPr>
        <w:jc w:val="both"/>
        <w:divId w:val="1942105788"/>
        <w:rPr>
          <w:rFonts w:eastAsia="Times New Roman"/>
          <w:lang w:val="es-ES"/>
        </w:rPr>
      </w:pPr>
      <w:r>
        <w:rPr>
          <w:rFonts w:eastAsia="Times New Roman"/>
          <w:lang w:val="es-ES"/>
        </w:rPr>
        <w:br/>
        <w:t>5. Loterías, rifas y similares.</w:t>
      </w:r>
    </w:p>
    <w:p w14:paraId="6EEAF613" w14:textId="77777777" w:rsidR="00000000" w:rsidRDefault="00BD04EE">
      <w:pPr>
        <w:jc w:val="both"/>
        <w:divId w:val="1942105788"/>
        <w:rPr>
          <w:rFonts w:eastAsia="Times New Roman"/>
          <w:lang w:val="es-ES"/>
        </w:rPr>
      </w:pPr>
      <w:r>
        <w:rPr>
          <w:rFonts w:eastAsia="Times New Roman"/>
          <w:lang w:val="es-ES"/>
        </w:rPr>
        <w:br/>
        <w:t>Adicionalmente, no se aplicará factores de ajuste a las actividades sujetas a impuesto a la renta único, y tampoco a las actividades acogidas al régimen impositivo simplificado.</w:t>
      </w:r>
    </w:p>
    <w:p w14:paraId="46EF2F03" w14:textId="77777777" w:rsidR="00000000" w:rsidRDefault="00BD04EE">
      <w:pPr>
        <w:jc w:val="both"/>
        <w:divId w:val="1956710594"/>
        <w:rPr>
          <w:rFonts w:eastAsia="Times New Roman"/>
          <w:lang w:val="es-ES"/>
        </w:rPr>
      </w:pPr>
      <w:r>
        <w:rPr>
          <w:rFonts w:eastAsia="Times New Roman"/>
          <w:lang w:val="es-ES"/>
        </w:rPr>
        <w:t>Art. 6.-</w:t>
      </w:r>
      <w:r>
        <w:rPr>
          <w:rFonts w:eastAsia="Times New Roman"/>
          <w:b/>
          <w:bCs/>
          <w:lang w:val="es-ES"/>
        </w:rPr>
        <w:t xml:space="preserve"> Cál</w:t>
      </w:r>
      <w:r>
        <w:rPr>
          <w:rFonts w:eastAsia="Times New Roman"/>
          <w:b/>
          <w:bCs/>
          <w:lang w:val="es-ES"/>
        </w:rPr>
        <w:t>culo de la participación de trabajadores en las utilidades.</w:t>
      </w:r>
      <w:r>
        <w:rPr>
          <w:rFonts w:eastAsia="Times New Roman"/>
          <w:b/>
          <w:bCs/>
          <w:lang w:val="es-ES"/>
        </w:rPr>
        <w:t>–</w:t>
      </w:r>
      <w:r>
        <w:rPr>
          <w:rFonts w:eastAsia="Times New Roman"/>
          <w:b/>
          <w:bCs/>
          <w:lang w:val="es-ES"/>
        </w:rPr>
        <w:t xml:space="preserve"> </w:t>
      </w:r>
      <w:r>
        <w:rPr>
          <w:rFonts w:eastAsia="Times New Roman"/>
          <w:lang w:val="es-ES"/>
        </w:rPr>
        <w:t xml:space="preserve">Cuando se determine la base imponible aplicando factores de ajuste, el porcentaje correspondiente a la participación de trabajadores se establecerá a través de la aplicación de una regla de tres </w:t>
      </w:r>
      <w:r>
        <w:rPr>
          <w:rFonts w:eastAsia="Times New Roman"/>
          <w:lang w:val="es-ES"/>
        </w:rPr>
        <w:t>simple, donde la base imponible presunta representa el 85% de la utilidad.</w:t>
      </w:r>
    </w:p>
    <w:p w14:paraId="60EB6685" w14:textId="77777777" w:rsidR="00000000" w:rsidRDefault="00BD04EE">
      <w:pPr>
        <w:jc w:val="both"/>
        <w:divId w:val="1956710594"/>
        <w:rPr>
          <w:rFonts w:eastAsia="Times New Roman"/>
          <w:lang w:val="es-ES"/>
        </w:rPr>
      </w:pPr>
      <w:r>
        <w:rPr>
          <w:rFonts w:eastAsia="Times New Roman"/>
          <w:lang w:val="es-ES"/>
        </w:rPr>
        <w:lastRenderedPageBreak/>
        <w:br/>
        <w:t>Para aplicar la regla de tres simple, el valor de la participación de trabajadores se calculará a través de la siguiente fórmula:</w:t>
      </w:r>
    </w:p>
    <w:p w14:paraId="41C8F3C1" w14:textId="77777777" w:rsidR="00000000" w:rsidRDefault="00BD04EE">
      <w:pPr>
        <w:jc w:val="both"/>
        <w:divId w:val="1956710594"/>
        <w:rPr>
          <w:rFonts w:eastAsia="Times New Roman"/>
          <w:lang w:val="es-ES"/>
        </w:rPr>
      </w:pPr>
      <w:r>
        <w:rPr>
          <w:rFonts w:eastAsia="Times New Roman"/>
          <w:lang w:val="es-ES"/>
        </w:rPr>
        <w:br/>
      </w:r>
      <w:r>
        <w:rPr>
          <w:rFonts w:eastAsia="Times New Roman"/>
          <w:b/>
          <w:bCs/>
          <w:lang w:val="es-ES"/>
        </w:rPr>
        <w:t>15%Pt = ((BI ajustada * 100%) / 85%)) * 15%</w:t>
      </w:r>
    </w:p>
    <w:p w14:paraId="553BFB1E" w14:textId="77777777" w:rsidR="00000000" w:rsidRDefault="00BD04EE">
      <w:pPr>
        <w:jc w:val="both"/>
        <w:divId w:val="1956710594"/>
        <w:rPr>
          <w:rFonts w:eastAsia="Times New Roman"/>
          <w:lang w:val="es-ES"/>
        </w:rPr>
      </w:pPr>
      <w:r>
        <w:rPr>
          <w:rFonts w:eastAsia="Times New Roman"/>
          <w:lang w:val="es-ES"/>
        </w:rPr>
        <w:br/>
        <w:t>Dond</w:t>
      </w:r>
      <w:r>
        <w:rPr>
          <w:rFonts w:eastAsia="Times New Roman"/>
          <w:lang w:val="es-ES"/>
        </w:rPr>
        <w:t>e:</w:t>
      </w:r>
    </w:p>
    <w:p w14:paraId="791D9D17" w14:textId="77777777" w:rsidR="00000000" w:rsidRDefault="00BD04EE">
      <w:pPr>
        <w:jc w:val="both"/>
        <w:divId w:val="1956710594"/>
        <w:rPr>
          <w:rFonts w:eastAsia="Times New Roman"/>
          <w:lang w:val="es-ES"/>
        </w:rPr>
      </w:pPr>
      <w:r>
        <w:rPr>
          <w:rFonts w:eastAsia="Times New Roman"/>
          <w:lang w:val="es-ES"/>
        </w:rPr>
        <w:br/>
      </w:r>
      <w:r>
        <w:rPr>
          <w:rFonts w:eastAsia="Times New Roman"/>
          <w:b/>
          <w:bCs/>
          <w:i/>
          <w:iCs/>
          <w:lang w:val="es-ES"/>
        </w:rPr>
        <w:t>• 15% Pt</w:t>
      </w:r>
      <w:r>
        <w:rPr>
          <w:rFonts w:eastAsia="Times New Roman"/>
          <w:i/>
          <w:iCs/>
          <w:lang w:val="es-ES"/>
        </w:rPr>
        <w:t xml:space="preserve"> es la participación de trabajadores.</w:t>
      </w:r>
    </w:p>
    <w:p w14:paraId="00206A7A" w14:textId="77777777" w:rsidR="00000000" w:rsidRDefault="00BD04EE">
      <w:pPr>
        <w:jc w:val="both"/>
        <w:divId w:val="1956710594"/>
        <w:rPr>
          <w:rFonts w:eastAsia="Times New Roman"/>
          <w:lang w:val="es-ES"/>
        </w:rPr>
      </w:pPr>
      <w:r>
        <w:rPr>
          <w:rFonts w:eastAsia="Times New Roman"/>
          <w:lang w:val="es-ES"/>
        </w:rPr>
        <w:br/>
        <w:t xml:space="preserve">• </w:t>
      </w:r>
      <w:r>
        <w:rPr>
          <w:rFonts w:eastAsia="Times New Roman"/>
          <w:b/>
          <w:bCs/>
          <w:i/>
          <w:iCs/>
          <w:lang w:val="es-ES"/>
        </w:rPr>
        <w:t>BI ajustada</w:t>
      </w:r>
      <w:r>
        <w:rPr>
          <w:rFonts w:eastAsia="Times New Roman"/>
          <w:i/>
          <w:iCs/>
          <w:lang w:val="es-ES"/>
        </w:rPr>
        <w:t xml:space="preserve"> es la Base Imponible aplicada factor de ajuste.</w:t>
      </w:r>
    </w:p>
    <w:p w14:paraId="76A18C2E" w14:textId="77777777" w:rsidR="00000000" w:rsidRDefault="00BD04EE">
      <w:pPr>
        <w:jc w:val="both"/>
        <w:divId w:val="1980911635"/>
        <w:rPr>
          <w:rFonts w:eastAsia="Times New Roman"/>
          <w:lang w:val="es-ES"/>
        </w:rPr>
      </w:pPr>
      <w:r>
        <w:rPr>
          <w:rFonts w:eastAsia="Times New Roman"/>
          <w:lang w:val="es-ES"/>
        </w:rPr>
        <w:t>Art. 7.-</w:t>
      </w:r>
      <w:r>
        <w:rPr>
          <w:rFonts w:eastAsia="Times New Roman"/>
          <w:b/>
          <w:bCs/>
          <w:lang w:val="es-ES"/>
        </w:rPr>
        <w:t xml:space="preserve"> Límite en la aplicación de factores de ajuste.–</w:t>
      </w:r>
      <w:r>
        <w:rPr>
          <w:rFonts w:eastAsia="Times New Roman"/>
          <w:b/>
          <w:bCs/>
          <w:lang w:val="es-ES"/>
        </w:rPr>
        <w:t xml:space="preserve"> </w:t>
      </w:r>
      <w:r>
        <w:rPr>
          <w:rFonts w:eastAsia="Times New Roman"/>
          <w:lang w:val="es-ES"/>
        </w:rPr>
        <w:t>El impuesto determinado en aplicación de la presente Resolución, no podrá ser inferior</w:t>
      </w:r>
      <w:r>
        <w:rPr>
          <w:rFonts w:eastAsia="Times New Roman"/>
          <w:lang w:val="es-ES"/>
        </w:rPr>
        <w:t xml:space="preserve"> al impuesto causado declarado por el contribuyente en su declaración, ni al valor de las retenciones en la fuente de impuesto a la renta que le han efectuado al sujeto pasivo, en el respectivo ejercicio fiscal.</w:t>
      </w:r>
    </w:p>
    <w:p w14:paraId="2E8BB3F4" w14:textId="77777777" w:rsidR="00000000" w:rsidRDefault="00BD04EE">
      <w:pPr>
        <w:jc w:val="center"/>
        <w:rPr>
          <w:rFonts w:eastAsia="Times New Roman"/>
          <w:b/>
          <w:bCs/>
          <w:lang w:val="es-ES"/>
        </w:rPr>
      </w:pPr>
    </w:p>
    <w:p w14:paraId="40836771" w14:textId="77777777" w:rsidR="00000000" w:rsidRDefault="00BD04EE">
      <w:pPr>
        <w:jc w:val="center"/>
        <w:rPr>
          <w:rFonts w:eastAsia="Times New Roman"/>
          <w:lang w:val="es-ES"/>
        </w:rPr>
      </w:pPr>
      <w:r>
        <w:rPr>
          <w:rFonts w:eastAsia="Times New Roman"/>
          <w:b/>
          <w:bCs/>
          <w:lang w:val="es-ES"/>
        </w:rPr>
        <w:t>DISPOSICIONES GENERALES</w:t>
      </w:r>
    </w:p>
    <w:p w14:paraId="0C241EB0" w14:textId="77777777" w:rsidR="00000000" w:rsidRDefault="00BD04EE">
      <w:pPr>
        <w:jc w:val="both"/>
        <w:divId w:val="9525595"/>
        <w:rPr>
          <w:rFonts w:eastAsia="Times New Roman"/>
          <w:lang w:val="es-ES"/>
        </w:rPr>
      </w:pPr>
      <w:r>
        <w:rPr>
          <w:rFonts w:eastAsia="Times New Roman"/>
          <w:b/>
          <w:bCs/>
          <w:lang w:val="es-ES"/>
        </w:rPr>
        <w:t>Primera</w:t>
      </w:r>
      <w:r>
        <w:rPr>
          <w:rFonts w:eastAsia="Times New Roman"/>
          <w:lang w:val="es-ES"/>
        </w:rPr>
        <w:t>.</w:t>
      </w:r>
      <w:r>
        <w:rPr>
          <w:rFonts w:eastAsia="Times New Roman"/>
          <w:lang w:val="es-ES"/>
        </w:rPr>
        <w:t>-</w:t>
      </w:r>
      <w:r>
        <w:rPr>
          <w:rFonts w:eastAsia="Times New Roman"/>
          <w:lang w:val="es-ES"/>
        </w:rPr>
        <w:t xml:space="preserve"> Lo señal</w:t>
      </w:r>
      <w:r>
        <w:rPr>
          <w:rFonts w:eastAsia="Times New Roman"/>
          <w:lang w:val="es-ES"/>
        </w:rPr>
        <w:t>ado en la presente Resolución será aplicable en los actos administrativos que se emitan a partir de su vigencia, considerando los plazos de caducidad de la facultad determinadora de la Administración Tributaria.</w:t>
      </w:r>
    </w:p>
    <w:p w14:paraId="60BA0819" w14:textId="77777777" w:rsidR="00000000" w:rsidRDefault="00BD04EE">
      <w:pPr>
        <w:jc w:val="both"/>
        <w:divId w:val="248201851"/>
        <w:rPr>
          <w:rFonts w:eastAsia="Times New Roman"/>
          <w:lang w:val="es-ES"/>
        </w:rPr>
      </w:pPr>
      <w:r>
        <w:rPr>
          <w:rFonts w:eastAsia="Times New Roman"/>
          <w:b/>
          <w:bCs/>
          <w:lang w:val="es-ES"/>
        </w:rPr>
        <w:t>Segunda</w:t>
      </w:r>
      <w:r>
        <w:rPr>
          <w:rFonts w:eastAsia="Times New Roman"/>
          <w:lang w:val="es-ES"/>
        </w:rPr>
        <w:t>.</w:t>
      </w:r>
      <w:r>
        <w:rPr>
          <w:rFonts w:eastAsia="Times New Roman"/>
          <w:lang w:val="es-ES"/>
        </w:rPr>
        <w:t>-</w:t>
      </w:r>
      <w:r>
        <w:rPr>
          <w:rFonts w:eastAsia="Times New Roman"/>
          <w:lang w:val="es-ES"/>
        </w:rPr>
        <w:t xml:space="preserve"> En los procesos de determinación o</w:t>
      </w:r>
      <w:r>
        <w:rPr>
          <w:rFonts w:eastAsia="Times New Roman"/>
          <w:lang w:val="es-ES"/>
        </w:rPr>
        <w:t>riginados en comunicaciones de diferencias en los que no se encuentre definido un coeficiente para la actividad económica del contribuyente, se deberá aplicar como factores de ajuste los siguientes:</w:t>
      </w:r>
    </w:p>
    <w:p w14:paraId="5BD58FD5" w14:textId="77777777" w:rsidR="00000000" w:rsidRDefault="00BD04EE">
      <w:pPr>
        <w:jc w:val="both"/>
        <w:divId w:val="248201851"/>
        <w:rPr>
          <w:rFonts w:eastAsia="Times New Roman"/>
          <w:lang w:val="es-ES"/>
        </w:rPr>
      </w:pPr>
      <w:r>
        <w:rPr>
          <w:rFonts w:eastAsia="Times New Roman"/>
          <w:lang w:val="es-ES"/>
        </w:rPr>
        <w:br/>
        <w:t>• Total de activos: 0.2358</w:t>
      </w:r>
    </w:p>
    <w:p w14:paraId="2AFBB5AC" w14:textId="77777777" w:rsidR="00000000" w:rsidRDefault="00BD04EE">
      <w:pPr>
        <w:jc w:val="both"/>
        <w:divId w:val="248201851"/>
        <w:rPr>
          <w:rFonts w:eastAsia="Times New Roman"/>
          <w:lang w:val="es-ES"/>
        </w:rPr>
      </w:pPr>
      <w:r>
        <w:rPr>
          <w:rFonts w:eastAsia="Times New Roman"/>
          <w:lang w:val="es-ES"/>
        </w:rPr>
        <w:br/>
        <w:t>• Total ingresos: 0.2473</w:t>
      </w:r>
    </w:p>
    <w:p w14:paraId="1575526A" w14:textId="77777777" w:rsidR="00000000" w:rsidRDefault="00BD04EE">
      <w:pPr>
        <w:jc w:val="both"/>
        <w:divId w:val="248201851"/>
        <w:rPr>
          <w:rFonts w:eastAsia="Times New Roman"/>
          <w:lang w:val="es-ES"/>
        </w:rPr>
      </w:pPr>
      <w:r>
        <w:rPr>
          <w:rFonts w:eastAsia="Times New Roman"/>
          <w:lang w:val="es-ES"/>
        </w:rPr>
        <w:br/>
        <w:t xml:space="preserve">• </w:t>
      </w:r>
      <w:r>
        <w:rPr>
          <w:rFonts w:eastAsia="Times New Roman"/>
          <w:lang w:val="es-ES"/>
        </w:rPr>
        <w:t>Total de costos y gastos: 0.3207</w:t>
      </w:r>
    </w:p>
    <w:p w14:paraId="50E7788F" w14:textId="77777777" w:rsidR="00000000" w:rsidRDefault="00BD04EE">
      <w:pPr>
        <w:jc w:val="both"/>
        <w:divId w:val="22170917"/>
        <w:rPr>
          <w:rFonts w:eastAsia="Times New Roman"/>
          <w:lang w:val="es-ES"/>
        </w:rPr>
      </w:pPr>
      <w:r>
        <w:rPr>
          <w:rFonts w:eastAsia="Times New Roman"/>
          <w:b/>
          <w:bCs/>
          <w:lang w:val="es-ES"/>
        </w:rPr>
        <w:t>Tercera</w:t>
      </w:r>
      <w:r>
        <w:rPr>
          <w:rFonts w:eastAsia="Times New Roman"/>
          <w:lang w:val="es-ES"/>
        </w:rPr>
        <w:t>.-</w:t>
      </w:r>
      <w:r>
        <w:rPr>
          <w:rFonts w:eastAsia="Times New Roman"/>
          <w:lang w:val="es-ES"/>
        </w:rPr>
        <w:t xml:space="preserve"> </w:t>
      </w:r>
      <w:r>
        <w:rPr>
          <w:rFonts w:eastAsia="Times New Roman"/>
          <w:lang w:val="es-ES"/>
        </w:rPr>
        <w:t>Lo señalado en este acto normativo no obsta la aplicación por parte de la Administración Tributaria de lo previsto en el artículo 24 de la Ley de Régimen Tributario Interno, según corresponda.</w:t>
      </w:r>
    </w:p>
    <w:p w14:paraId="5B08EDCC" w14:textId="77777777" w:rsidR="00000000" w:rsidRDefault="00BD04EE">
      <w:pPr>
        <w:jc w:val="center"/>
        <w:rPr>
          <w:rFonts w:eastAsia="Times New Roman"/>
          <w:b/>
          <w:bCs/>
          <w:lang w:val="es-ES"/>
        </w:rPr>
      </w:pPr>
    </w:p>
    <w:p w14:paraId="0097A1E0" w14:textId="77777777" w:rsidR="00000000" w:rsidRDefault="00BD04EE">
      <w:pPr>
        <w:jc w:val="center"/>
        <w:rPr>
          <w:rFonts w:eastAsia="Times New Roman"/>
          <w:lang w:val="es-ES"/>
        </w:rPr>
      </w:pPr>
      <w:r>
        <w:rPr>
          <w:rFonts w:eastAsia="Times New Roman"/>
          <w:b/>
          <w:bCs/>
          <w:lang w:val="es-ES"/>
        </w:rPr>
        <w:t>DISPOSICIÓN DEROGATORIA</w:t>
      </w:r>
    </w:p>
    <w:p w14:paraId="5429BE07" w14:textId="77777777" w:rsidR="00000000" w:rsidRDefault="00BD04EE">
      <w:pPr>
        <w:jc w:val="both"/>
        <w:divId w:val="299530949"/>
        <w:rPr>
          <w:rFonts w:eastAsia="Times New Roman"/>
          <w:lang w:val="es-ES"/>
        </w:rPr>
      </w:pPr>
      <w:r>
        <w:rPr>
          <w:rFonts w:eastAsia="Times New Roman"/>
          <w:b/>
          <w:bCs/>
          <w:lang w:val="es-ES"/>
        </w:rPr>
        <w:t>Única.</w:t>
      </w:r>
      <w:r>
        <w:rPr>
          <w:rFonts w:eastAsia="Times New Roman"/>
          <w:b/>
          <w:bCs/>
          <w:lang w:val="es-ES"/>
        </w:rPr>
        <w:t>-</w:t>
      </w:r>
      <w:r>
        <w:rPr>
          <w:rFonts w:eastAsia="Times New Roman"/>
          <w:b/>
          <w:bCs/>
          <w:lang w:val="es-ES"/>
        </w:rPr>
        <w:t xml:space="preserve"> </w:t>
      </w:r>
      <w:r>
        <w:rPr>
          <w:rFonts w:eastAsia="Times New Roman"/>
          <w:lang w:val="es-ES"/>
        </w:rPr>
        <w:t>Deróguese la Resolución NAC-DGERCGC18-00000264, publicada en el Segundo Suplemento del Registro Oficial No. 282 de 12 de julio de 2018, y sus reformas.</w:t>
      </w:r>
    </w:p>
    <w:p w14:paraId="606C0076" w14:textId="77777777" w:rsidR="00000000" w:rsidRDefault="00BD04EE">
      <w:pPr>
        <w:jc w:val="center"/>
        <w:rPr>
          <w:rFonts w:eastAsia="Times New Roman"/>
          <w:b/>
          <w:bCs/>
          <w:lang w:val="es-ES"/>
        </w:rPr>
      </w:pPr>
    </w:p>
    <w:p w14:paraId="2A5AA614" w14:textId="77777777" w:rsidR="00000000" w:rsidRDefault="00BD04EE">
      <w:pPr>
        <w:jc w:val="center"/>
        <w:rPr>
          <w:rFonts w:eastAsia="Times New Roman"/>
          <w:lang w:val="es-ES"/>
        </w:rPr>
      </w:pPr>
      <w:r>
        <w:rPr>
          <w:rFonts w:eastAsia="Times New Roman"/>
          <w:b/>
          <w:bCs/>
          <w:lang w:val="es-ES"/>
        </w:rPr>
        <w:t>DISPOSICIÓN FINAL</w:t>
      </w:r>
    </w:p>
    <w:p w14:paraId="72A226BA" w14:textId="77777777" w:rsidR="00000000" w:rsidRDefault="00BD04EE">
      <w:pPr>
        <w:jc w:val="both"/>
        <w:divId w:val="1999964924"/>
        <w:rPr>
          <w:rFonts w:eastAsia="Times New Roman"/>
          <w:lang w:val="es-ES"/>
        </w:rPr>
      </w:pPr>
      <w:r>
        <w:rPr>
          <w:rFonts w:eastAsia="Times New Roman"/>
          <w:lang w:val="es-ES"/>
        </w:rPr>
        <w:t>La presente Resolución entrará en vigencia</w:t>
      </w:r>
      <w:r>
        <w:rPr>
          <w:rFonts w:eastAsia="Times New Roman"/>
          <w:lang w:val="es-ES"/>
        </w:rPr>
        <w:t xml:space="preserve"> </w:t>
      </w:r>
      <w:r>
        <w:rPr>
          <w:rFonts w:eastAsia="Times New Roman"/>
          <w:lang w:val="es-ES"/>
        </w:rPr>
        <w:t>a partir de su publicación en el Registro Oficial.</w:t>
      </w:r>
    </w:p>
    <w:p w14:paraId="51B4A920" w14:textId="77777777" w:rsidR="00000000" w:rsidRDefault="00BD04EE">
      <w:pPr>
        <w:jc w:val="both"/>
        <w:divId w:val="1999964924"/>
        <w:rPr>
          <w:rFonts w:eastAsia="Times New Roman"/>
          <w:lang w:val="es-ES"/>
        </w:rPr>
      </w:pPr>
      <w:r>
        <w:rPr>
          <w:rFonts w:eastAsia="Times New Roman"/>
          <w:lang w:val="es-ES"/>
        </w:rPr>
        <w:br/>
        <w:t>Comuníquese y publíquese.-</w:t>
      </w:r>
    </w:p>
    <w:p w14:paraId="1AC91EB2" w14:textId="77777777" w:rsidR="00000000" w:rsidRDefault="00BD04EE">
      <w:pPr>
        <w:jc w:val="both"/>
        <w:divId w:val="1999964924"/>
        <w:rPr>
          <w:rFonts w:eastAsia="Times New Roman"/>
          <w:lang w:val="es-ES"/>
        </w:rPr>
      </w:pPr>
      <w:r>
        <w:rPr>
          <w:rFonts w:eastAsia="Times New Roman"/>
          <w:lang w:val="es-ES"/>
        </w:rPr>
        <w:br/>
        <w:t>Dado en Quito D.M., a 22 de octubre de 2019.</w:t>
      </w:r>
    </w:p>
    <w:p w14:paraId="30AB65FC" w14:textId="77777777" w:rsidR="00000000" w:rsidRDefault="00BD04EE">
      <w:pPr>
        <w:jc w:val="center"/>
        <w:rPr>
          <w:rFonts w:eastAsia="Times New Roman"/>
          <w:lang w:val="es-ES"/>
        </w:rPr>
      </w:pPr>
      <w:r>
        <w:rPr>
          <w:rFonts w:eastAsia="Times New Roman"/>
          <w:b/>
          <w:bCs/>
          <w:lang w:val="es-ES"/>
        </w:rPr>
        <w:br/>
        <w:t>FUENTES DE LA PRESENTE EDICIÓN DE LA RESOLUCIÓN QUE EXPIDE LAS NORMAS PARA ESTABLECER L</w:t>
      </w:r>
      <w:r>
        <w:rPr>
          <w:rFonts w:eastAsia="Times New Roman"/>
          <w:b/>
          <w:bCs/>
          <w:lang w:val="es-ES"/>
        </w:rPr>
        <w:t>OS FACTORES DE AJUSTE EN PROCESOS DE DETERMINACIÓN DE IMPUESTO A LA RENTA ORIGINADOS EN COMUNICACIONES DE DIFERENCIAS Y LIQUIDACIONES DE PAGO Y SU FORMA DE APLICACIÓN</w:t>
      </w:r>
    </w:p>
    <w:p w14:paraId="3A744DCA" w14:textId="77777777" w:rsidR="00000000" w:rsidRDefault="00BD04EE">
      <w:pPr>
        <w:jc w:val="both"/>
        <w:divId w:val="1690064313"/>
        <w:rPr>
          <w:rFonts w:eastAsia="Times New Roman"/>
          <w:lang w:val="es-ES"/>
        </w:rPr>
      </w:pPr>
      <w:r>
        <w:rPr>
          <w:rFonts w:eastAsia="Times New Roman"/>
          <w:lang w:val="es-ES"/>
        </w:rPr>
        <w:lastRenderedPageBreak/>
        <w:br/>
        <w:t>1.- Resolución NAC-DGERCGC19-00000049 (Suplemento del Registro Oficial 69, 28-X-2019).</w:t>
      </w:r>
    </w:p>
    <w:sectPr w:rsidR="00000000">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efaultTabStop w:val="708"/>
  <w:hyphenationZone w:val="425"/>
  <w:noPunctuationKerning/>
  <w:characterSpacingControl w:val="doNotCompress"/>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Setting w:name="useWord2013TrackBottomHyphenation" w:uri="http://schemas.microsoft.com/office/word" w:val="0"/>
  </w:compat>
  <w:rsids>
    <w:rsidRoot w:val="00BD04EE"/>
    <w:rsid w:val="00BD04EE"/>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AEE07B"/>
  <w15:chartTrackingRefBased/>
  <w15:docId w15:val="{B47263BD-6C23-4D67-8437-E5A6E7C093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EC" w:eastAsia="es-EC"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semiHidden/>
    <w:unhideWhenUsed/>
    <w:rPr>
      <w:strike w:val="0"/>
      <w:dstrike w:val="0"/>
      <w:color w:val="000000"/>
      <w:u w:val="none"/>
      <w:effect w:val="none"/>
    </w:rPr>
  </w:style>
  <w:style w:type="character" w:styleId="Hipervnculovisitado">
    <w:name w:val="FollowedHyperlink"/>
    <w:basedOn w:val="Fuentedeprrafopredeter"/>
    <w:uiPriority w:val="99"/>
    <w:semiHidden/>
    <w:unhideWhenUsed/>
    <w:rPr>
      <w:strike w:val="0"/>
      <w:dstrike w:val="0"/>
      <w:color w:val="000000"/>
      <w:u w:val="none"/>
      <w:effect w:val="none"/>
    </w:rPr>
  </w:style>
  <w:style w:type="paragraph" w:customStyle="1" w:styleId="msonormal0">
    <w:name w:val="msonormal"/>
    <w:basedOn w:val="Normal"/>
    <w:pPr>
      <w:spacing w:before="100" w:beforeAutospacing="1" w:after="100" w:afterAutospacing="1"/>
      <w:jc w:val="both"/>
    </w:pPr>
  </w:style>
  <w:style w:type="paragraph" w:styleId="NormalWeb">
    <w:name w:val="Normal (Web)"/>
    <w:basedOn w:val="Normal"/>
    <w:uiPriority w:val="99"/>
    <w:semiHidden/>
    <w:unhideWhenUsed/>
    <w:pPr>
      <w:spacing w:before="100" w:beforeAutospacing="1" w:after="100" w:afterAutospacing="1"/>
      <w:jc w:val="both"/>
    </w:pPr>
  </w:style>
  <w:style w:type="paragraph" w:customStyle="1" w:styleId="ct1">
    <w:name w:val="ct1"/>
    <w:basedOn w:val="Normal"/>
    <w:pPr>
      <w:pBdr>
        <w:bottom w:val="single" w:sz="6" w:space="0" w:color="auto"/>
        <w:right w:val="single" w:sz="6" w:space="0" w:color="auto"/>
      </w:pBdr>
      <w:spacing w:before="100" w:beforeAutospacing="1" w:after="100" w:afterAutospacing="1"/>
    </w:pPr>
  </w:style>
  <w:style w:type="paragraph" w:customStyle="1" w:styleId="ct2">
    <w:name w:val="ct2"/>
    <w:basedOn w:val="Normal"/>
    <w:pPr>
      <w:pBdr>
        <w:left w:val="single" w:sz="6" w:space="0" w:color="auto"/>
        <w:bottom w:val="single" w:sz="6" w:space="0" w:color="auto"/>
        <w:right w:val="single" w:sz="6" w:space="0" w:color="auto"/>
      </w:pBdr>
      <w:spacing w:before="100" w:beforeAutospacing="1" w:after="100" w:afterAutospacing="1"/>
    </w:pPr>
  </w:style>
  <w:style w:type="paragraph" w:customStyle="1" w:styleId="ct3">
    <w:name w:val="ct3"/>
    <w:basedOn w:val="Normal"/>
    <w:pPr>
      <w:pBdr>
        <w:top w:val="single" w:sz="6" w:space="0" w:color="auto"/>
        <w:left w:val="single" w:sz="6" w:space="0" w:color="auto"/>
        <w:bottom w:val="single" w:sz="6" w:space="0" w:color="auto"/>
        <w:right w:val="single" w:sz="6" w:space="0" w:color="auto"/>
      </w:pBd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25595">
      <w:marLeft w:val="0"/>
      <w:marRight w:val="0"/>
      <w:marTop w:val="0"/>
      <w:marBottom w:val="0"/>
      <w:divBdr>
        <w:top w:val="none" w:sz="0" w:space="0" w:color="auto"/>
        <w:left w:val="none" w:sz="0" w:space="0" w:color="auto"/>
        <w:bottom w:val="none" w:sz="0" w:space="0" w:color="auto"/>
        <w:right w:val="none" w:sz="0" w:space="0" w:color="auto"/>
      </w:divBdr>
    </w:div>
    <w:div w:id="22170917">
      <w:marLeft w:val="0"/>
      <w:marRight w:val="0"/>
      <w:marTop w:val="0"/>
      <w:marBottom w:val="0"/>
      <w:divBdr>
        <w:top w:val="none" w:sz="0" w:space="0" w:color="auto"/>
        <w:left w:val="none" w:sz="0" w:space="0" w:color="auto"/>
        <w:bottom w:val="none" w:sz="0" w:space="0" w:color="auto"/>
        <w:right w:val="none" w:sz="0" w:space="0" w:color="auto"/>
      </w:divBdr>
    </w:div>
    <w:div w:id="51736686">
      <w:marLeft w:val="0"/>
      <w:marRight w:val="0"/>
      <w:marTop w:val="0"/>
      <w:marBottom w:val="0"/>
      <w:divBdr>
        <w:top w:val="none" w:sz="0" w:space="0" w:color="auto"/>
        <w:left w:val="none" w:sz="0" w:space="0" w:color="auto"/>
        <w:bottom w:val="none" w:sz="0" w:space="0" w:color="auto"/>
        <w:right w:val="none" w:sz="0" w:space="0" w:color="auto"/>
      </w:divBdr>
    </w:div>
    <w:div w:id="224143039">
      <w:marLeft w:val="0"/>
      <w:marRight w:val="0"/>
      <w:marTop w:val="0"/>
      <w:marBottom w:val="0"/>
      <w:divBdr>
        <w:top w:val="none" w:sz="0" w:space="0" w:color="auto"/>
        <w:left w:val="none" w:sz="0" w:space="0" w:color="auto"/>
        <w:bottom w:val="none" w:sz="0" w:space="0" w:color="auto"/>
        <w:right w:val="none" w:sz="0" w:space="0" w:color="auto"/>
      </w:divBdr>
    </w:div>
    <w:div w:id="248201851">
      <w:marLeft w:val="0"/>
      <w:marRight w:val="0"/>
      <w:marTop w:val="0"/>
      <w:marBottom w:val="0"/>
      <w:divBdr>
        <w:top w:val="none" w:sz="0" w:space="0" w:color="auto"/>
        <w:left w:val="none" w:sz="0" w:space="0" w:color="auto"/>
        <w:bottom w:val="none" w:sz="0" w:space="0" w:color="auto"/>
        <w:right w:val="none" w:sz="0" w:space="0" w:color="auto"/>
      </w:divBdr>
    </w:div>
    <w:div w:id="299530949">
      <w:marLeft w:val="0"/>
      <w:marRight w:val="0"/>
      <w:marTop w:val="0"/>
      <w:marBottom w:val="0"/>
      <w:divBdr>
        <w:top w:val="none" w:sz="0" w:space="0" w:color="auto"/>
        <w:left w:val="none" w:sz="0" w:space="0" w:color="auto"/>
        <w:bottom w:val="none" w:sz="0" w:space="0" w:color="auto"/>
        <w:right w:val="none" w:sz="0" w:space="0" w:color="auto"/>
      </w:divBdr>
    </w:div>
    <w:div w:id="314727103">
      <w:marLeft w:val="0"/>
      <w:marRight w:val="0"/>
      <w:marTop w:val="0"/>
      <w:marBottom w:val="0"/>
      <w:divBdr>
        <w:top w:val="none" w:sz="0" w:space="0" w:color="auto"/>
        <w:left w:val="none" w:sz="0" w:space="0" w:color="auto"/>
        <w:bottom w:val="none" w:sz="0" w:space="0" w:color="auto"/>
        <w:right w:val="none" w:sz="0" w:space="0" w:color="auto"/>
      </w:divBdr>
    </w:div>
    <w:div w:id="1690064313">
      <w:marLeft w:val="0"/>
      <w:marRight w:val="0"/>
      <w:marTop w:val="0"/>
      <w:marBottom w:val="0"/>
      <w:divBdr>
        <w:top w:val="none" w:sz="0" w:space="0" w:color="auto"/>
        <w:left w:val="none" w:sz="0" w:space="0" w:color="auto"/>
        <w:bottom w:val="none" w:sz="0" w:space="0" w:color="auto"/>
        <w:right w:val="none" w:sz="0" w:space="0" w:color="auto"/>
      </w:divBdr>
    </w:div>
    <w:div w:id="1899977898">
      <w:marLeft w:val="0"/>
      <w:marRight w:val="0"/>
      <w:marTop w:val="0"/>
      <w:marBottom w:val="0"/>
      <w:divBdr>
        <w:top w:val="none" w:sz="0" w:space="0" w:color="auto"/>
        <w:left w:val="none" w:sz="0" w:space="0" w:color="auto"/>
        <w:bottom w:val="none" w:sz="0" w:space="0" w:color="auto"/>
        <w:right w:val="none" w:sz="0" w:space="0" w:color="auto"/>
      </w:divBdr>
    </w:div>
    <w:div w:id="1942105788">
      <w:marLeft w:val="0"/>
      <w:marRight w:val="0"/>
      <w:marTop w:val="0"/>
      <w:marBottom w:val="0"/>
      <w:divBdr>
        <w:top w:val="none" w:sz="0" w:space="0" w:color="auto"/>
        <w:left w:val="none" w:sz="0" w:space="0" w:color="auto"/>
        <w:bottom w:val="none" w:sz="0" w:space="0" w:color="auto"/>
        <w:right w:val="none" w:sz="0" w:space="0" w:color="auto"/>
      </w:divBdr>
    </w:div>
    <w:div w:id="1956710594">
      <w:marLeft w:val="0"/>
      <w:marRight w:val="0"/>
      <w:marTop w:val="0"/>
      <w:marBottom w:val="0"/>
      <w:divBdr>
        <w:top w:val="none" w:sz="0" w:space="0" w:color="auto"/>
        <w:left w:val="none" w:sz="0" w:space="0" w:color="auto"/>
        <w:bottom w:val="none" w:sz="0" w:space="0" w:color="auto"/>
        <w:right w:val="none" w:sz="0" w:space="0" w:color="auto"/>
      </w:divBdr>
    </w:div>
    <w:div w:id="1980911635">
      <w:marLeft w:val="0"/>
      <w:marRight w:val="0"/>
      <w:marTop w:val="0"/>
      <w:marBottom w:val="0"/>
      <w:divBdr>
        <w:top w:val="none" w:sz="0" w:space="0" w:color="auto"/>
        <w:left w:val="none" w:sz="0" w:space="0" w:color="auto"/>
        <w:bottom w:val="none" w:sz="0" w:space="0" w:color="auto"/>
        <w:right w:val="none" w:sz="0" w:space="0" w:color="auto"/>
      </w:divBdr>
    </w:div>
    <w:div w:id="1999964924">
      <w:marLeft w:val="0"/>
      <w:marRight w:val="0"/>
      <w:marTop w:val="0"/>
      <w:marBottom w:val="0"/>
      <w:divBdr>
        <w:top w:val="none" w:sz="0" w:space="0" w:color="auto"/>
        <w:left w:val="none" w:sz="0" w:space="0" w:color="auto"/>
        <w:bottom w:val="none" w:sz="0" w:space="0" w:color="auto"/>
        <w:right w:val="none" w:sz="0" w:space="0" w:color="auto"/>
      </w:divBdr>
    </w:div>
    <w:div w:id="2013991206">
      <w:marLeft w:val="0"/>
      <w:marRight w:val="0"/>
      <w:marTop w:val="0"/>
      <w:marBottom w:val="0"/>
      <w:divBdr>
        <w:top w:val="none" w:sz="0" w:space="0" w:color="auto"/>
        <w:left w:val="none" w:sz="0" w:space="0" w:color="auto"/>
        <w:bottom w:val="none" w:sz="0" w:space="0" w:color="auto"/>
        <w:right w:val="none" w:sz="0" w:space="0" w:color="auto"/>
      </w:divBdr>
    </w:div>
    <w:div w:id="2110537182">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2045</Words>
  <Characters>11480</Characters>
  <Application>Microsoft Office Word</Application>
  <DocSecurity>0</DocSecurity>
  <Lines>95</Lines>
  <Paragraphs>26</Paragraphs>
  <ScaleCrop>false</ScaleCrop>
  <Company/>
  <LinksUpToDate>false</LinksUpToDate>
  <CharactersWithSpaces>13499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NILO NARVAEZ</dc:creator>
  <cp:keywords/>
  <dc:description/>
  <cp:lastModifiedBy>NILO NARVAEZ</cp:lastModifiedBy>
  <cp:revision>2</cp:revision>
  <dcterms:created xsi:type="dcterms:W3CDTF">2019-11-27T21:14:00Z</dcterms:created>
  <dcterms:modified xsi:type="dcterms:W3CDTF">2019-11-27T21:14:00Z</dcterms:modified>
</cp:coreProperties>
</file>